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1DBF" w14:textId="77777777" w:rsidR="009B746F" w:rsidRPr="009B746F" w:rsidRDefault="009B746F" w:rsidP="009B746F">
      <w:pPr>
        <w:shd w:val="clear" w:color="auto" w:fill="FFFFFF" w:themeFill="background1"/>
        <w:spacing w:after="160" w:line="252" w:lineRule="auto"/>
        <w:ind w:firstLine="0"/>
        <w:jc w:val="center"/>
        <w:rPr>
          <w:rFonts w:eastAsia="SimSun" w:cs="font260"/>
          <w:b/>
          <w:bCs/>
          <w:color w:val="8EAADB" w:themeColor="accent1" w:themeTint="99"/>
          <w:sz w:val="28"/>
          <w:szCs w:val="28"/>
          <w:lang w:eastAsia="ar-SA"/>
        </w:rPr>
      </w:pPr>
      <w:r w:rsidRPr="009B746F">
        <w:rPr>
          <w:rFonts w:eastAsia="SimSun" w:cs="font260"/>
          <w:b/>
          <w:bCs/>
          <w:color w:val="8EAADB" w:themeColor="accent1" w:themeTint="99"/>
          <w:sz w:val="28"/>
          <w:szCs w:val="28"/>
          <w:lang w:eastAsia="ar-SA"/>
        </w:rPr>
        <w:t>Часть VI ТЕХНИЧЕСКАЯ ЧАСТЬ ЗАКУПОЧНОЙ ДОКУМЕНТАЦИИ.</w:t>
      </w:r>
    </w:p>
    <w:p w14:paraId="1EDD12EF" w14:textId="7FEC71E3" w:rsidR="00F527A0" w:rsidRPr="00D21C68" w:rsidRDefault="00484C11" w:rsidP="00484C11">
      <w:pPr>
        <w:shd w:val="clear" w:color="auto" w:fill="FFFFFF" w:themeFill="background1"/>
        <w:tabs>
          <w:tab w:val="left" w:pos="3984"/>
        </w:tabs>
        <w:spacing w:after="160" w:line="252" w:lineRule="auto"/>
        <w:rPr>
          <w:rFonts w:eastAsia="SimSun"/>
          <w:b/>
          <w:bCs/>
          <w:sz w:val="26"/>
          <w:szCs w:val="26"/>
          <w:lang w:eastAsia="ar-SA"/>
        </w:rPr>
      </w:pPr>
      <w:r>
        <w:rPr>
          <w:rFonts w:eastAsia="SimSun"/>
          <w:i/>
          <w:iCs/>
          <w:sz w:val="26"/>
          <w:szCs w:val="26"/>
          <w:lang w:eastAsia="ar-SA"/>
        </w:rPr>
        <w:t xml:space="preserve">                             </w:t>
      </w:r>
      <w:r w:rsidR="00F527A0" w:rsidRPr="00D21C68">
        <w:rPr>
          <w:rFonts w:eastAsia="SimSun"/>
          <w:b/>
          <w:bCs/>
          <w:sz w:val="26"/>
          <w:szCs w:val="26"/>
          <w:lang w:eastAsia="ar-SA"/>
        </w:rPr>
        <w:t xml:space="preserve">ТЕХНИЧЕСКОЕ ЗАДАНИЕ </w:t>
      </w:r>
    </w:p>
    <w:p w14:paraId="222C2B13" w14:textId="77777777" w:rsidR="00F527A0" w:rsidRPr="00D21C68" w:rsidRDefault="00F527A0" w:rsidP="00F527A0">
      <w:pPr>
        <w:shd w:val="clear" w:color="auto" w:fill="FFFFFF" w:themeFill="background1"/>
        <w:spacing w:after="160" w:line="252" w:lineRule="auto"/>
        <w:jc w:val="center"/>
        <w:rPr>
          <w:rFonts w:eastAsia="SimSun"/>
          <w:sz w:val="26"/>
          <w:szCs w:val="26"/>
          <w:lang w:eastAsia="ar-SA"/>
        </w:rPr>
      </w:pPr>
      <w:r w:rsidRPr="00D21C68">
        <w:rPr>
          <w:rFonts w:eastAsia="SimSun"/>
          <w:sz w:val="26"/>
          <w:szCs w:val="26"/>
          <w:lang w:eastAsia="ar-SA"/>
        </w:rPr>
        <w:t>на выполнение аналитической работы по теме</w:t>
      </w:r>
    </w:p>
    <w:p w14:paraId="137D3FFD" w14:textId="77777777" w:rsidR="00F527A0" w:rsidRPr="00D21C68" w:rsidRDefault="00F527A0" w:rsidP="00F527A0">
      <w:pPr>
        <w:shd w:val="clear" w:color="auto" w:fill="FFFFFF" w:themeFill="background1"/>
        <w:spacing w:after="160" w:line="252" w:lineRule="auto"/>
        <w:jc w:val="center"/>
        <w:rPr>
          <w:rFonts w:eastAsia="SimSun"/>
          <w:sz w:val="26"/>
          <w:szCs w:val="26"/>
          <w:lang w:eastAsia="ar-SA"/>
        </w:rPr>
      </w:pPr>
      <w:r w:rsidRPr="00D21C68">
        <w:rPr>
          <w:rFonts w:eastAsia="SimSun"/>
          <w:sz w:val="26"/>
          <w:szCs w:val="26"/>
          <w:lang w:eastAsia="ar-SA"/>
        </w:rPr>
        <w:t>«Разработка и анализ сценариев развития отрасли информационно-коммуникационных технологий национального уровня (в т.ч. НКИТ) в условиях санкционных ограничений и оценка траектории развития технологических компаний в ИТ отрасли - выпускников акселерационной программы»</w:t>
      </w:r>
    </w:p>
    <w:p w14:paraId="470C7658" w14:textId="77777777" w:rsidR="00F527A0" w:rsidRPr="001E4CBF" w:rsidRDefault="00F527A0" w:rsidP="00F527A0">
      <w:pPr>
        <w:pStyle w:val="ListParagraph1"/>
        <w:numPr>
          <w:ilvl w:val="0"/>
          <w:numId w:val="1"/>
        </w:numPr>
        <w:shd w:val="clear" w:color="auto" w:fill="FFFFFF" w:themeFill="background1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E4CBF">
        <w:rPr>
          <w:rFonts w:ascii="Times New Roman" w:hAnsi="Times New Roman" w:cs="Times New Roman"/>
          <w:b/>
          <w:sz w:val="26"/>
          <w:szCs w:val="26"/>
        </w:rPr>
        <w:t>Глоссарий</w:t>
      </w:r>
    </w:p>
    <w:p w14:paraId="4424F8F7" w14:textId="77777777" w:rsidR="00F527A0" w:rsidRPr="001E4CBF" w:rsidRDefault="00F527A0" w:rsidP="00F527A0">
      <w:pPr>
        <w:shd w:val="clear" w:color="auto" w:fill="FFFFFF" w:themeFill="background1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1.1</w:t>
      </w:r>
      <w:r w:rsidRPr="001E4CBF">
        <w:rPr>
          <w:sz w:val="26"/>
          <w:szCs w:val="26"/>
          <w:lang w:val="en-US"/>
        </w:rPr>
        <w:t> </w:t>
      </w:r>
      <w:r w:rsidRPr="001E4CBF">
        <w:rPr>
          <w:sz w:val="26"/>
          <w:szCs w:val="26"/>
        </w:rPr>
        <w:t>Экосистема – «Экосистемный» (по аналогии с биологией) подход к инновациям (соответственно, инновационным отраслям и рынкам) является очень популярным, но относительно новым даже по мировым меркам. Общепринятого, стандартизованного, определения инновационной экосистемы в настоящее время не существует.</w:t>
      </w:r>
    </w:p>
    <w:p w14:paraId="59700441" w14:textId="77777777" w:rsidR="00F527A0" w:rsidRPr="001E4CBF" w:rsidRDefault="00F527A0" w:rsidP="00F527A0">
      <w:pPr>
        <w:shd w:val="clear" w:color="auto" w:fill="FFFFFF" w:themeFill="background1"/>
        <w:rPr>
          <w:sz w:val="26"/>
          <w:szCs w:val="26"/>
        </w:rPr>
      </w:pPr>
      <w:r w:rsidRPr="001E4CBF">
        <w:rPr>
          <w:sz w:val="26"/>
          <w:szCs w:val="26"/>
        </w:rPr>
        <w:t xml:space="preserve">Возможно, наиболее удачным является определение инновационной экосистемы от </w:t>
      </w:r>
      <w:r w:rsidRPr="001E4CBF">
        <w:rPr>
          <w:sz w:val="26"/>
          <w:szCs w:val="26"/>
          <w:lang w:val="en-US"/>
        </w:rPr>
        <w:t>Massachusetts</w:t>
      </w:r>
      <w:r w:rsidRPr="001E4CBF">
        <w:rPr>
          <w:sz w:val="26"/>
          <w:szCs w:val="26"/>
        </w:rPr>
        <w:t xml:space="preserve"> </w:t>
      </w:r>
      <w:r w:rsidRPr="001E4CBF">
        <w:rPr>
          <w:sz w:val="26"/>
          <w:szCs w:val="26"/>
          <w:lang w:val="en-US"/>
        </w:rPr>
        <w:t>Technology</w:t>
      </w:r>
      <w:r w:rsidRPr="001E4CBF">
        <w:rPr>
          <w:sz w:val="26"/>
          <w:szCs w:val="26"/>
        </w:rPr>
        <w:t xml:space="preserve"> </w:t>
      </w:r>
      <w:r w:rsidRPr="001E4CBF">
        <w:rPr>
          <w:sz w:val="26"/>
          <w:szCs w:val="26"/>
          <w:lang w:val="en-US"/>
        </w:rPr>
        <w:t>Collaboration</w:t>
      </w:r>
      <w:r w:rsidRPr="001E4CBF">
        <w:rPr>
          <w:sz w:val="26"/>
          <w:szCs w:val="26"/>
        </w:rPr>
        <w:t>: «Инновационная экосистема – это термин, используемый для описания большого, разнородного набора участников и ресурсов, которые необходимы для инновационного процесса в современной экономике. Это включает предпринимателей, инвесторов, исследователей, университетских преподавателей, венчурных капиталистов, а также ресурсы развития бизнеса и другой технической помощи, включая бухгалтерию, конструкторов, контрактных производителей и поставщиков услуг обучения и профессионального развития».</w:t>
      </w:r>
    </w:p>
    <w:p w14:paraId="39601A5D" w14:textId="77777777" w:rsidR="00F527A0" w:rsidRPr="001E4CBF" w:rsidRDefault="00F527A0" w:rsidP="00F527A0">
      <w:pPr>
        <w:shd w:val="clear" w:color="auto" w:fill="FFFFFF" w:themeFill="background1"/>
        <w:rPr>
          <w:sz w:val="26"/>
          <w:szCs w:val="26"/>
        </w:rPr>
      </w:pPr>
      <w:r w:rsidRPr="001E4CBF">
        <w:rPr>
          <w:sz w:val="26"/>
          <w:szCs w:val="26"/>
        </w:rPr>
        <w:t>Иначе говоря, «инновационная экосистема – это набор системно взаимосвязанных игроков, обеспечивающих полный инновационный цикл, и включающий в себя всех акторов, агентов и сервисы, которые необходимы для производства инноваций» (Е.Б. Кузнецов, Российская венчурная компания).</w:t>
      </w:r>
    </w:p>
    <w:p w14:paraId="36E03914" w14:textId="77777777" w:rsidR="00F527A0" w:rsidRPr="001E4CBF" w:rsidRDefault="00F527A0" w:rsidP="00F527A0">
      <w:pPr>
        <w:shd w:val="clear" w:color="auto" w:fill="FFFFFF" w:themeFill="background1"/>
        <w:rPr>
          <w:sz w:val="26"/>
          <w:szCs w:val="26"/>
        </w:rPr>
      </w:pPr>
      <w:r w:rsidRPr="001E4CBF">
        <w:rPr>
          <w:sz w:val="26"/>
          <w:szCs w:val="26"/>
        </w:rPr>
        <w:t>1.2</w:t>
      </w:r>
      <w:r w:rsidRPr="001E4CBF">
        <w:rPr>
          <w:sz w:val="26"/>
          <w:szCs w:val="26"/>
          <w:lang w:val="en-US"/>
        </w:rPr>
        <w:t> </w:t>
      </w:r>
      <w:r w:rsidRPr="001E4CBF">
        <w:rPr>
          <w:sz w:val="26"/>
          <w:szCs w:val="26"/>
        </w:rPr>
        <w:t xml:space="preserve">Новые коммуникационные интернет-технологии (НКИТ) – технологическое направление, объединяющее в себе технологии, продукты и сервисы на их основе, обеспечивающие массовые персональные коммуникации людей в цифровом пространстве с использованием сети интернет. К базовым новым коммуникационным интернет-технологиям в настоящий момент можно отнести коммуникационные и досуговые сервисы. К вспомогательным технологиям, решениям и сервисам НКИТ относятся решения, обеспечивающие увеличение охвата аудитории за счет предложения нового качества пользования коммуникационными сервисами. </w:t>
      </w:r>
    </w:p>
    <w:p w14:paraId="52FA7F31" w14:textId="77777777" w:rsidR="00F527A0" w:rsidRPr="001E4CBF" w:rsidRDefault="00F527A0" w:rsidP="00F527A0">
      <w:pPr>
        <w:shd w:val="clear" w:color="auto" w:fill="FFFFFF" w:themeFill="background1"/>
        <w:rPr>
          <w:sz w:val="26"/>
          <w:szCs w:val="26"/>
        </w:rPr>
      </w:pPr>
      <w:r w:rsidRPr="001E4CBF">
        <w:rPr>
          <w:sz w:val="26"/>
          <w:szCs w:val="26"/>
        </w:rPr>
        <w:t>1.3</w:t>
      </w:r>
      <w:r w:rsidRPr="001E4CBF">
        <w:rPr>
          <w:sz w:val="26"/>
          <w:szCs w:val="26"/>
          <w:lang w:val="en-US"/>
        </w:rPr>
        <w:t> </w:t>
      </w:r>
      <w:r w:rsidRPr="001E4CBF">
        <w:rPr>
          <w:sz w:val="26"/>
          <w:szCs w:val="26"/>
        </w:rPr>
        <w:t xml:space="preserve">Акселерационная программа (акселератор) – комплекс мер нефинансового характера, предназначенных для поддержки российских технологических компаний при реализации проектов по разработке, </w:t>
      </w:r>
      <w:r w:rsidRPr="001E4CBF">
        <w:rPr>
          <w:sz w:val="26"/>
          <w:szCs w:val="26"/>
        </w:rPr>
        <w:lastRenderedPageBreak/>
        <w:t>коммерциализации, внедрению российских решений в сфере информационных технологий, включающих анализ таких проектов, наставничество, консультирование в процессе реализации проектов в целях их успешной реализации за счет нивелирования предпринимательских рисков, развития профессиональных компетенций сотрудников, а также повышения инвестиционной привлекательности проектов.</w:t>
      </w:r>
    </w:p>
    <w:p w14:paraId="6EEE6D37" w14:textId="77777777" w:rsidR="00F527A0" w:rsidRPr="001E4CBF" w:rsidRDefault="00F527A0" w:rsidP="00F527A0">
      <w:pPr>
        <w:pStyle w:val="ListParagraph1"/>
        <w:numPr>
          <w:ilvl w:val="0"/>
          <w:numId w:val="1"/>
        </w:numPr>
        <w:shd w:val="clear" w:color="auto" w:fill="FFFFFF" w:themeFill="background1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E4CBF">
        <w:rPr>
          <w:rFonts w:ascii="Times New Roman" w:hAnsi="Times New Roman" w:cs="Times New Roman"/>
          <w:b/>
          <w:sz w:val="26"/>
          <w:szCs w:val="26"/>
        </w:rPr>
        <w:t>Введение</w:t>
      </w:r>
    </w:p>
    <w:p w14:paraId="4BE0BED5" w14:textId="77777777" w:rsidR="00F527A0" w:rsidRPr="001E4CBF" w:rsidRDefault="00F527A0" w:rsidP="00F527A0">
      <w:pPr>
        <w:shd w:val="clear" w:color="auto" w:fill="FFFFFF" w:themeFill="background1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Введение санкционных ограничений и усложнение условий развития бизнеса, связанного с общей турбулентностью российской и мировой экономик, а также резкое изменение доступных рынков сбыта и источников капитала для инвестирования в перспективные технологические компании, изменение доступных российским ИТ компаниям кадровых ресурсов предполагают формирование новых социально-экономических условий для деятельности ИТ компаний. В этой ситуации представляется актуальным для формирования стратегий деятельности как отдельных ИТ компаний, так и институтов развития, обеспечивающих поддержку ИКТ отрасли и реализацию ДК НКИТ, построение статистически обоснованных сценариев развития ИКТ отрасли, позволяющих сделать прогнозы развития отрасли в зависимости от действий внешних и внутренних факторов. Данные сценарии и прогнозы создадут систему рамочных и граничных условий, как для деятельности технологических компаний, так и для деятельности институтов развития и профильных органов государственной власти.</w:t>
      </w:r>
    </w:p>
    <w:p w14:paraId="0805C1EE" w14:textId="77777777" w:rsidR="00F527A0" w:rsidRPr="001E4CBF" w:rsidRDefault="00F527A0" w:rsidP="00F527A0">
      <w:pPr>
        <w:shd w:val="clear" w:color="auto" w:fill="FFFFFF" w:themeFill="background1"/>
        <w:rPr>
          <w:sz w:val="26"/>
          <w:szCs w:val="26"/>
        </w:rPr>
      </w:pPr>
      <w:r w:rsidRPr="001E4CBF">
        <w:rPr>
          <w:sz w:val="26"/>
          <w:szCs w:val="26"/>
        </w:rPr>
        <w:t>Требуется проведение анализа траекторий развития компаний участников и выпускников акселерационной программы и с точки зрения оценки возможности выхода компаний на траектории устойчивого роста.</w:t>
      </w:r>
    </w:p>
    <w:p w14:paraId="5FED850D" w14:textId="77777777" w:rsidR="00F527A0" w:rsidRPr="001E4CBF" w:rsidRDefault="00F527A0" w:rsidP="00F527A0">
      <w:pPr>
        <w:shd w:val="clear" w:color="auto" w:fill="FFFFFF" w:themeFill="background1"/>
        <w:rPr>
          <w:sz w:val="26"/>
          <w:szCs w:val="26"/>
        </w:rPr>
      </w:pPr>
      <w:r w:rsidRPr="001E4CBF">
        <w:rPr>
          <w:sz w:val="26"/>
          <w:szCs w:val="26"/>
        </w:rPr>
        <w:t>На основе проведенного анализа и с учетом сценариев развития ИКТ отрасли должны быть разработаны рекомендации для ФРИИ и институтов развития, (в том числе участвующих в реализации ДК НКИТ) по выводу технологических компаний на траектории устойчивого роста.</w:t>
      </w:r>
    </w:p>
    <w:p w14:paraId="36162967" w14:textId="77777777" w:rsidR="00F527A0" w:rsidRPr="001E4CBF" w:rsidRDefault="00F527A0" w:rsidP="00F527A0">
      <w:pPr>
        <w:pStyle w:val="ListParagraph1"/>
        <w:numPr>
          <w:ilvl w:val="0"/>
          <w:numId w:val="1"/>
        </w:numPr>
        <w:shd w:val="clear" w:color="auto" w:fill="FFFFFF" w:themeFill="background1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CBF">
        <w:rPr>
          <w:rFonts w:ascii="Times New Roman" w:hAnsi="Times New Roman" w:cs="Times New Roman"/>
          <w:b/>
          <w:sz w:val="26"/>
          <w:szCs w:val="26"/>
        </w:rPr>
        <w:t>Цели, задачи и результаты аналитической работы</w:t>
      </w:r>
    </w:p>
    <w:p w14:paraId="0B3F1A8E" w14:textId="77777777" w:rsidR="00F527A0" w:rsidRPr="001E4CBF" w:rsidRDefault="00F527A0" w:rsidP="00F527A0">
      <w:pPr>
        <w:shd w:val="clear" w:color="auto" w:fill="FFFFFF" w:themeFill="background1"/>
        <w:ind w:firstLine="708"/>
        <w:rPr>
          <w:sz w:val="26"/>
          <w:szCs w:val="26"/>
        </w:rPr>
      </w:pPr>
      <w:r w:rsidRPr="001E4CBF">
        <w:rPr>
          <w:sz w:val="26"/>
          <w:szCs w:val="26"/>
        </w:rPr>
        <w:t>Цель работы: описание стратегических условий развития отрасли информационно-коммуникационных технологий национального уровня для адаптации участников отрасли к резкому росту санкционных ограничений, а также разработки рекомендаций по взаимодействию ФРИИ с технологическими компаниями по обеспечению их выхода на траектории устойчивого роста в сложившихся условиях.</w:t>
      </w:r>
    </w:p>
    <w:p w14:paraId="0EEA6DAA" w14:textId="77777777" w:rsidR="00F527A0" w:rsidRPr="001E4CBF" w:rsidRDefault="00F527A0" w:rsidP="00F527A0">
      <w:pPr>
        <w:shd w:val="clear" w:color="auto" w:fill="FFFFFF" w:themeFill="background1"/>
        <w:rPr>
          <w:sz w:val="26"/>
          <w:szCs w:val="26"/>
        </w:rPr>
      </w:pPr>
      <w:r w:rsidRPr="001E4CBF">
        <w:rPr>
          <w:sz w:val="26"/>
          <w:szCs w:val="26"/>
        </w:rPr>
        <w:t xml:space="preserve">Достижение данной цели предполагает решение </w:t>
      </w:r>
      <w:r w:rsidRPr="001E4CBF">
        <w:rPr>
          <w:i/>
          <w:sz w:val="26"/>
          <w:szCs w:val="26"/>
        </w:rPr>
        <w:t>нескольких задач</w:t>
      </w:r>
      <w:r w:rsidRPr="001E4CBF">
        <w:rPr>
          <w:sz w:val="26"/>
          <w:szCs w:val="26"/>
        </w:rPr>
        <w:t>:</w:t>
      </w:r>
    </w:p>
    <w:p w14:paraId="527DCF73" w14:textId="77777777" w:rsidR="00F527A0" w:rsidRPr="008B3A0B" w:rsidRDefault="00F527A0" w:rsidP="00F527A0">
      <w:pPr>
        <w:pStyle w:val="a6"/>
        <w:shd w:val="clear" w:color="auto" w:fill="FFFFFF" w:themeFill="background1"/>
        <w:spacing w:after="160" w:line="259" w:lineRule="auto"/>
        <w:rPr>
          <w:sz w:val="26"/>
          <w:szCs w:val="26"/>
        </w:rPr>
      </w:pPr>
      <w:r w:rsidRPr="001E4CBF">
        <w:rPr>
          <w:b/>
          <w:sz w:val="26"/>
          <w:szCs w:val="26"/>
        </w:rPr>
        <w:t>Задача 1.</w:t>
      </w:r>
      <w:r w:rsidRPr="001E4CBF">
        <w:rPr>
          <w:sz w:val="26"/>
          <w:szCs w:val="26"/>
        </w:rPr>
        <w:t xml:space="preserve"> Разработка и анализ сценариев развития отрасли информационно-коммуникационных технологий национального уровня (в т.ч. НКИТ) в условиях санкционных ограничений.</w:t>
      </w:r>
    </w:p>
    <w:p w14:paraId="3F8C4D90" w14:textId="77777777" w:rsidR="00F527A0" w:rsidRPr="008B3A0B" w:rsidRDefault="00F527A0" w:rsidP="00F527A0">
      <w:pPr>
        <w:pStyle w:val="a6"/>
        <w:shd w:val="clear" w:color="auto" w:fill="FFFFFF" w:themeFill="background1"/>
        <w:rPr>
          <w:sz w:val="26"/>
          <w:szCs w:val="26"/>
        </w:rPr>
      </w:pPr>
      <w:r w:rsidRPr="001E4CBF">
        <w:rPr>
          <w:b/>
          <w:sz w:val="26"/>
          <w:szCs w:val="26"/>
        </w:rPr>
        <w:lastRenderedPageBreak/>
        <w:t>Задача 2.</w:t>
      </w:r>
      <w:r w:rsidRPr="001E4CBF">
        <w:rPr>
          <w:sz w:val="26"/>
          <w:szCs w:val="26"/>
        </w:rPr>
        <w:t xml:space="preserve"> Анализ траекторий развития компаний-выпускников акселерационной программы на основе разработанной ранее модели развития инновационной технологической компании (на материалах, предоставляемых Заказчиком).</w:t>
      </w:r>
    </w:p>
    <w:p w14:paraId="04885E8A" w14:textId="77777777" w:rsidR="00F527A0" w:rsidRPr="001E4CBF" w:rsidRDefault="00F527A0" w:rsidP="00F527A0">
      <w:pPr>
        <w:pStyle w:val="a6"/>
        <w:shd w:val="clear" w:color="auto" w:fill="FFFFFF" w:themeFill="background1"/>
        <w:rPr>
          <w:sz w:val="26"/>
          <w:szCs w:val="26"/>
        </w:rPr>
      </w:pPr>
      <w:r w:rsidRPr="001E4CBF">
        <w:rPr>
          <w:b/>
          <w:sz w:val="26"/>
          <w:szCs w:val="26"/>
        </w:rPr>
        <w:t xml:space="preserve">Задача 3. </w:t>
      </w:r>
      <w:r w:rsidRPr="001E4CBF">
        <w:rPr>
          <w:sz w:val="26"/>
          <w:szCs w:val="26"/>
        </w:rPr>
        <w:t>Разработка системы рекомендаций по взаимодействию Институтов развития (в том числе ФРИИ) с технологическими компаниями, по обеспечению их выхода на траектории устойчивого роста в рамках сценариев развития ИКТ отрасли (в т.ч. НКИТ) в условиях санкционных ограничений.</w:t>
      </w:r>
    </w:p>
    <w:p w14:paraId="7E9F83B5" w14:textId="77777777" w:rsidR="00F527A0" w:rsidRPr="001E4CBF" w:rsidRDefault="00F527A0" w:rsidP="00F527A0">
      <w:pPr>
        <w:shd w:val="clear" w:color="auto" w:fill="FFFFFF" w:themeFill="background1"/>
        <w:rPr>
          <w:sz w:val="26"/>
          <w:szCs w:val="26"/>
        </w:rPr>
      </w:pPr>
      <w:r w:rsidRPr="001E4CBF">
        <w:rPr>
          <w:sz w:val="26"/>
          <w:szCs w:val="26"/>
        </w:rPr>
        <w:t>Ожидаемые результаты проекта:</w:t>
      </w:r>
    </w:p>
    <w:p w14:paraId="488CC412" w14:textId="77777777" w:rsidR="00F527A0" w:rsidRPr="001E4CBF" w:rsidRDefault="00F527A0" w:rsidP="00F527A0">
      <w:pPr>
        <w:pStyle w:val="a4"/>
        <w:numPr>
          <w:ilvl w:val="0"/>
          <w:numId w:val="2"/>
        </w:numPr>
        <w:shd w:val="clear" w:color="auto" w:fill="FFFFFF" w:themeFill="background1"/>
        <w:spacing w:after="200" w:line="276" w:lineRule="auto"/>
        <w:contextualSpacing/>
        <w:jc w:val="both"/>
        <w:rPr>
          <w:sz w:val="26"/>
          <w:szCs w:val="26"/>
        </w:rPr>
      </w:pPr>
      <w:r w:rsidRPr="001E4CBF">
        <w:rPr>
          <w:sz w:val="26"/>
          <w:szCs w:val="26"/>
        </w:rPr>
        <w:t>Описание основных сценариев развития ИКТ отрасли (включая НКИТ) в условиях санкционных ограничений.</w:t>
      </w:r>
    </w:p>
    <w:p w14:paraId="5B4AB031" w14:textId="77777777" w:rsidR="00F527A0" w:rsidRPr="001E4CBF" w:rsidRDefault="00F527A0" w:rsidP="00F527A0">
      <w:pPr>
        <w:pStyle w:val="a4"/>
        <w:numPr>
          <w:ilvl w:val="0"/>
          <w:numId w:val="2"/>
        </w:numPr>
        <w:shd w:val="clear" w:color="auto" w:fill="FFFFFF" w:themeFill="background1"/>
        <w:spacing w:after="200" w:line="276" w:lineRule="auto"/>
        <w:contextualSpacing/>
        <w:jc w:val="both"/>
        <w:rPr>
          <w:sz w:val="26"/>
          <w:szCs w:val="26"/>
        </w:rPr>
      </w:pPr>
      <w:r w:rsidRPr="001E4CBF">
        <w:rPr>
          <w:sz w:val="26"/>
          <w:szCs w:val="26"/>
        </w:rPr>
        <w:t>Описание факторов, влияющие на траектории развития технологической компании – участника акселерационной программы с точки зрения возможности выхода компании на траекторию устойчивого роста в изменившихся условиях развития.</w:t>
      </w:r>
    </w:p>
    <w:p w14:paraId="5B5636D8" w14:textId="77777777" w:rsidR="00F527A0" w:rsidRPr="001E4CBF" w:rsidRDefault="00F527A0" w:rsidP="00F527A0">
      <w:pPr>
        <w:pStyle w:val="a4"/>
        <w:numPr>
          <w:ilvl w:val="0"/>
          <w:numId w:val="2"/>
        </w:numPr>
        <w:shd w:val="clear" w:color="auto" w:fill="FFFFFF" w:themeFill="background1"/>
        <w:spacing w:after="200" w:line="276" w:lineRule="auto"/>
        <w:contextualSpacing/>
        <w:jc w:val="both"/>
        <w:rPr>
          <w:sz w:val="26"/>
          <w:szCs w:val="26"/>
        </w:rPr>
      </w:pPr>
      <w:r w:rsidRPr="001E4CBF">
        <w:rPr>
          <w:sz w:val="26"/>
          <w:szCs w:val="26"/>
        </w:rPr>
        <w:t>Рекомендации для институтов развития (в т.ч ФРИИ) по выводу технологических компаний–участников акселерационной программы на траектории устойчивого роста в условиях реализации наиболее вероятных сценариев развития ИКТ отрасли.</w:t>
      </w:r>
    </w:p>
    <w:p w14:paraId="1582DDA7" w14:textId="77777777" w:rsidR="00F527A0" w:rsidRPr="001E4CBF" w:rsidRDefault="00F527A0" w:rsidP="00F527A0">
      <w:pPr>
        <w:pStyle w:val="ListParagraph1"/>
        <w:numPr>
          <w:ilvl w:val="0"/>
          <w:numId w:val="1"/>
        </w:numPr>
        <w:shd w:val="clear" w:color="auto" w:fill="FFFFFF" w:themeFill="background1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Hlk110613028"/>
      <w:r w:rsidRPr="001E4CBF">
        <w:rPr>
          <w:rFonts w:ascii="Times New Roman" w:hAnsi="Times New Roman" w:cs="Times New Roman"/>
          <w:b/>
          <w:sz w:val="26"/>
          <w:szCs w:val="26"/>
        </w:rPr>
        <w:t>Перечень выполняемые работ и требования к ним:</w:t>
      </w:r>
    </w:p>
    <w:p w14:paraId="587E19B2" w14:textId="77777777" w:rsidR="00F527A0" w:rsidRPr="001E4CBF" w:rsidRDefault="00F527A0" w:rsidP="00F527A0">
      <w:pPr>
        <w:pStyle w:val="a4"/>
        <w:numPr>
          <w:ilvl w:val="1"/>
          <w:numId w:val="3"/>
        </w:numPr>
        <w:shd w:val="clear" w:color="auto" w:fill="FFFFFF" w:themeFill="background1"/>
        <w:spacing w:after="200" w:line="276" w:lineRule="auto"/>
        <w:contextualSpacing/>
        <w:jc w:val="both"/>
        <w:rPr>
          <w:sz w:val="26"/>
          <w:szCs w:val="26"/>
        </w:rPr>
      </w:pPr>
      <w:bookmarkStart w:id="1" w:name="_Hlk110613089"/>
      <w:r w:rsidRPr="001E4CBF">
        <w:rPr>
          <w:sz w:val="26"/>
          <w:szCs w:val="26"/>
        </w:rPr>
        <w:t>Разработка и анализ сценариев развития отрасли информационно-коммуникационных технологий национального уровня в условиях значительного усиления санкционных ограничений, включая:</w:t>
      </w:r>
    </w:p>
    <w:p w14:paraId="78ACAD2F" w14:textId="77777777" w:rsidR="00F527A0" w:rsidRPr="001E4CBF" w:rsidRDefault="00F527A0" w:rsidP="00F527A0">
      <w:pPr>
        <w:pStyle w:val="a6"/>
        <w:numPr>
          <w:ilvl w:val="2"/>
          <w:numId w:val="3"/>
        </w:numPr>
        <w:shd w:val="clear" w:color="auto" w:fill="FFFFFF" w:themeFill="background1"/>
        <w:suppressAutoHyphens w:val="0"/>
        <w:spacing w:after="160" w:line="259" w:lineRule="auto"/>
        <w:ind w:left="1134" w:hanging="567"/>
        <w:rPr>
          <w:sz w:val="26"/>
          <w:szCs w:val="26"/>
        </w:rPr>
      </w:pPr>
      <w:r w:rsidRPr="001E4CBF">
        <w:rPr>
          <w:sz w:val="26"/>
          <w:szCs w:val="26"/>
        </w:rPr>
        <w:t>Оценку состояния экосистемы информационно-коммуникационных технологий национального уровня в условиях введения системных санкций против России;</w:t>
      </w:r>
    </w:p>
    <w:p w14:paraId="137CD704" w14:textId="77777777" w:rsidR="00F527A0" w:rsidRPr="001E4CBF" w:rsidRDefault="00F527A0" w:rsidP="00F527A0">
      <w:pPr>
        <w:pStyle w:val="a6"/>
        <w:numPr>
          <w:ilvl w:val="2"/>
          <w:numId w:val="3"/>
        </w:numPr>
        <w:shd w:val="clear" w:color="auto" w:fill="FFFFFF" w:themeFill="background1"/>
        <w:suppressAutoHyphens w:val="0"/>
        <w:spacing w:after="160" w:line="259" w:lineRule="auto"/>
        <w:ind w:left="1134" w:hanging="567"/>
        <w:rPr>
          <w:sz w:val="26"/>
          <w:szCs w:val="26"/>
        </w:rPr>
      </w:pPr>
      <w:r w:rsidRPr="001E4CBF">
        <w:rPr>
          <w:sz w:val="26"/>
          <w:szCs w:val="26"/>
        </w:rPr>
        <w:t>Разработку сценариев развития экосистемы ИКТ (10-12 лет) с учётом неопределённости, связанной как с глобальными процессами, связанными с развитием мировой экономики и технологий ИКТ, так и с новыми факторами неопределённости, связанными с расширением системы санкций против России. При разработке сценариев учёт санкционной составляющей должен быть обеспечен за счет:</w:t>
      </w:r>
    </w:p>
    <w:p w14:paraId="37518082" w14:textId="77777777" w:rsidR="00F527A0" w:rsidRPr="001E4CBF" w:rsidRDefault="00F527A0" w:rsidP="00F527A0">
      <w:pPr>
        <w:pStyle w:val="a6"/>
        <w:numPr>
          <w:ilvl w:val="3"/>
          <w:numId w:val="4"/>
        </w:numPr>
        <w:shd w:val="clear" w:color="auto" w:fill="FFFFFF" w:themeFill="background1"/>
        <w:suppressAutoHyphens w:val="0"/>
        <w:spacing w:after="200"/>
        <w:rPr>
          <w:sz w:val="26"/>
          <w:szCs w:val="26"/>
        </w:rPr>
      </w:pPr>
      <w:r w:rsidRPr="001E4CBF">
        <w:rPr>
          <w:sz w:val="26"/>
          <w:szCs w:val="26"/>
        </w:rPr>
        <w:t xml:space="preserve">оценки эффекта от непосредственного влияния «санкционной войны», включая снижение экспорта, ограничение / изменение географии импорта (главным образом, на основе </w:t>
      </w:r>
      <w:r w:rsidRPr="001E4CBF">
        <w:rPr>
          <w:sz w:val="26"/>
          <w:szCs w:val="26"/>
          <w:lang w:val="en-US"/>
        </w:rPr>
        <w:t>case</w:t>
      </w:r>
      <w:r w:rsidRPr="001E4CBF">
        <w:rPr>
          <w:sz w:val="26"/>
          <w:szCs w:val="26"/>
        </w:rPr>
        <w:t>-</w:t>
      </w:r>
      <w:r w:rsidRPr="001E4CBF">
        <w:rPr>
          <w:sz w:val="26"/>
          <w:szCs w:val="26"/>
          <w:lang w:val="en-US"/>
        </w:rPr>
        <w:t>study</w:t>
      </w:r>
      <w:r w:rsidRPr="001E4CBF">
        <w:rPr>
          <w:sz w:val="26"/>
          <w:szCs w:val="26"/>
        </w:rPr>
        <w:t>, с учетом отсутствия доступной информации о внешней торговле);</w:t>
      </w:r>
    </w:p>
    <w:p w14:paraId="4CBBBCB7" w14:textId="77777777" w:rsidR="00F527A0" w:rsidRPr="001E4CBF" w:rsidRDefault="00F527A0" w:rsidP="00F527A0">
      <w:pPr>
        <w:pStyle w:val="a6"/>
        <w:numPr>
          <w:ilvl w:val="3"/>
          <w:numId w:val="4"/>
        </w:numPr>
        <w:shd w:val="clear" w:color="auto" w:fill="FFFFFF" w:themeFill="background1"/>
        <w:suppressAutoHyphens w:val="0"/>
        <w:spacing w:after="200"/>
        <w:rPr>
          <w:i/>
          <w:sz w:val="26"/>
          <w:szCs w:val="26"/>
        </w:rPr>
      </w:pPr>
      <w:r w:rsidRPr="001E4CBF">
        <w:rPr>
          <w:sz w:val="26"/>
          <w:szCs w:val="26"/>
        </w:rPr>
        <w:t>анализа факторов, отражающих ситуацию в области иностранного финансирования российских компаний ИКТ-сектора;</w:t>
      </w:r>
    </w:p>
    <w:p w14:paraId="594388E1" w14:textId="77777777" w:rsidR="00F527A0" w:rsidRPr="001E4CBF" w:rsidRDefault="00F527A0" w:rsidP="00F527A0">
      <w:pPr>
        <w:pStyle w:val="a6"/>
        <w:numPr>
          <w:ilvl w:val="3"/>
          <w:numId w:val="4"/>
        </w:numPr>
        <w:shd w:val="clear" w:color="auto" w:fill="FFFFFF" w:themeFill="background1"/>
        <w:suppressAutoHyphens w:val="0"/>
        <w:spacing w:after="200"/>
        <w:rPr>
          <w:sz w:val="26"/>
          <w:szCs w:val="26"/>
        </w:rPr>
      </w:pPr>
      <w:r w:rsidRPr="001E4CBF">
        <w:rPr>
          <w:sz w:val="26"/>
          <w:szCs w:val="26"/>
        </w:rPr>
        <w:lastRenderedPageBreak/>
        <w:t>анализа наметившихся и ожидаемых действий по адаптации российского сектора ИКТ к условиям санкций.</w:t>
      </w:r>
    </w:p>
    <w:p w14:paraId="0EE6F5C2" w14:textId="77777777" w:rsidR="00F527A0" w:rsidRPr="001E4CBF" w:rsidRDefault="00F527A0" w:rsidP="00F527A0">
      <w:pPr>
        <w:pStyle w:val="a6"/>
        <w:shd w:val="clear" w:color="auto" w:fill="FFFFFF" w:themeFill="background1"/>
        <w:ind w:left="1134"/>
        <w:rPr>
          <w:sz w:val="26"/>
          <w:szCs w:val="26"/>
        </w:rPr>
      </w:pPr>
      <w:r w:rsidRPr="001E4CBF">
        <w:rPr>
          <w:sz w:val="26"/>
          <w:szCs w:val="26"/>
        </w:rPr>
        <w:t>В числе разработанных сценариев должны быть, по крайней мере: «инерционный сценарий» и «целевой» сценарий с максимальным использованием и воспроизводством потенциала, включая выход на рынки развивающихся стран;</w:t>
      </w:r>
    </w:p>
    <w:p w14:paraId="4D6EDB08" w14:textId="77777777" w:rsidR="00F527A0" w:rsidRPr="001E4CBF" w:rsidRDefault="00F527A0" w:rsidP="00F527A0">
      <w:pPr>
        <w:pStyle w:val="a6"/>
        <w:shd w:val="clear" w:color="auto" w:fill="FFFFFF" w:themeFill="background1"/>
        <w:ind w:left="786"/>
        <w:rPr>
          <w:sz w:val="26"/>
          <w:szCs w:val="26"/>
        </w:rPr>
      </w:pPr>
    </w:p>
    <w:p w14:paraId="30D5ADA8" w14:textId="77777777" w:rsidR="00F527A0" w:rsidRPr="001E4CBF" w:rsidRDefault="00F527A0" w:rsidP="00F527A0">
      <w:pPr>
        <w:pStyle w:val="a6"/>
        <w:numPr>
          <w:ilvl w:val="2"/>
          <w:numId w:val="3"/>
        </w:numPr>
        <w:shd w:val="clear" w:color="auto" w:fill="FFFFFF" w:themeFill="background1"/>
        <w:suppressAutoHyphens w:val="0"/>
        <w:spacing w:after="160" w:line="259" w:lineRule="auto"/>
        <w:ind w:left="1134" w:hanging="567"/>
        <w:rPr>
          <w:sz w:val="26"/>
          <w:szCs w:val="26"/>
        </w:rPr>
      </w:pPr>
      <w:r w:rsidRPr="001E4CBF">
        <w:rPr>
          <w:sz w:val="26"/>
          <w:szCs w:val="26"/>
        </w:rPr>
        <w:t>Разработку средне- (3-6 лет) и долгосрочных (10-12) сценарных прогнозов развития отрасли информационно-коммуникационных технологий, получение соответствующих количественных оценок, включая оценки развития экосистемы ИКТ. При разработке прогнозов должны быть учтены последние доступные статистические данные, а также значения экзогенно-задаваемых параметров в соответствии с текущей ситуацией расширения системы санкций и постепенной адаптацией российской экономики к ним;</w:t>
      </w:r>
    </w:p>
    <w:p w14:paraId="1073C127" w14:textId="77777777" w:rsidR="00F527A0" w:rsidRPr="001E4CBF" w:rsidRDefault="00F527A0" w:rsidP="00F527A0">
      <w:pPr>
        <w:pStyle w:val="a6"/>
        <w:numPr>
          <w:ilvl w:val="1"/>
          <w:numId w:val="3"/>
        </w:numPr>
        <w:shd w:val="clear" w:color="auto" w:fill="FFFFFF" w:themeFill="background1"/>
        <w:suppressAutoHyphens w:val="0"/>
        <w:spacing w:after="160" w:line="259" w:lineRule="auto"/>
        <w:ind w:left="142" w:firstLine="284"/>
        <w:rPr>
          <w:sz w:val="26"/>
          <w:szCs w:val="26"/>
        </w:rPr>
      </w:pPr>
      <w:r w:rsidRPr="001E4CBF">
        <w:rPr>
          <w:sz w:val="26"/>
          <w:szCs w:val="26"/>
        </w:rPr>
        <w:t>Выявление и анализ факторов, влияющих на траектории развития компаний-выпускников и участников акселерационной программы с использованием модели развития инновационной технологической компании с учетом новой информации и изменившихся условий развития. Анализ должен осуществляться на основе анонимизированной ретроспективной финансовой информации о технологических компаниях, прошедших и проходящих акселерационную программу на данных, передаваемых Заказчиком.</w:t>
      </w:r>
    </w:p>
    <w:p w14:paraId="43C5B4B5" w14:textId="77777777" w:rsidR="00F527A0" w:rsidRPr="001E4CBF" w:rsidRDefault="00F527A0" w:rsidP="00F527A0">
      <w:pPr>
        <w:pStyle w:val="a6"/>
        <w:numPr>
          <w:ilvl w:val="1"/>
          <w:numId w:val="3"/>
        </w:numPr>
        <w:shd w:val="clear" w:color="auto" w:fill="FFFFFF" w:themeFill="background1"/>
        <w:suppressAutoHyphens w:val="0"/>
        <w:spacing w:after="160" w:line="259" w:lineRule="auto"/>
        <w:ind w:left="142" w:firstLine="284"/>
        <w:rPr>
          <w:sz w:val="26"/>
          <w:szCs w:val="26"/>
        </w:rPr>
      </w:pPr>
      <w:r w:rsidRPr="001E4CBF">
        <w:rPr>
          <w:sz w:val="26"/>
          <w:szCs w:val="26"/>
        </w:rPr>
        <w:t>Оценка траекторий развития компаний-выпускников и участников акселерационной программы на основе модели развития инновационной технологической компании</w:t>
      </w:r>
      <w:r w:rsidRPr="001E4CBF" w:rsidDel="00FF16E8">
        <w:rPr>
          <w:sz w:val="26"/>
          <w:szCs w:val="26"/>
        </w:rPr>
        <w:t xml:space="preserve"> </w:t>
      </w:r>
      <w:r w:rsidRPr="001E4CBF">
        <w:rPr>
          <w:sz w:val="26"/>
          <w:szCs w:val="26"/>
        </w:rPr>
        <w:t>и кластеризации компаний по типам наиболее вероятных траекторий развития в изменившихся условиях развития.</w:t>
      </w:r>
    </w:p>
    <w:p w14:paraId="12B25ECB" w14:textId="77777777" w:rsidR="00F527A0" w:rsidRPr="006D58DE" w:rsidRDefault="00F527A0" w:rsidP="00F527A0">
      <w:pPr>
        <w:pStyle w:val="a6"/>
        <w:numPr>
          <w:ilvl w:val="1"/>
          <w:numId w:val="3"/>
        </w:numPr>
        <w:shd w:val="clear" w:color="auto" w:fill="FFFFFF" w:themeFill="background1"/>
        <w:suppressAutoHyphens w:val="0"/>
        <w:spacing w:after="160" w:line="259" w:lineRule="auto"/>
        <w:ind w:left="142" w:firstLine="284"/>
        <w:rPr>
          <w:sz w:val="26"/>
          <w:szCs w:val="26"/>
        </w:rPr>
      </w:pPr>
      <w:r w:rsidRPr="001E4CBF">
        <w:rPr>
          <w:sz w:val="26"/>
          <w:szCs w:val="26"/>
        </w:rPr>
        <w:t>Разработка рекомендаций для Институтов развития (в том числе ФРИИ) необходимых для адаптации бизнес-моделей и стратегий ИТ-компаний – участников акселерационной программы к изменившимся условиям предпринимательской деятельности и выхода их на траектории устойчивого роста. Рекомендации могут относиться как к действиям ФРИИ, так и действиям других институтов развития, участвующих в реализации Дорожной карты НКИТ.</w:t>
      </w:r>
      <w:bookmarkEnd w:id="0"/>
    </w:p>
    <w:bookmarkEnd w:id="1"/>
    <w:p w14:paraId="5FEB5FD2" w14:textId="77777777" w:rsidR="00F527A0" w:rsidRPr="001E4CBF" w:rsidRDefault="00F527A0" w:rsidP="00F527A0">
      <w:pPr>
        <w:pStyle w:val="ListParagraph1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CBF">
        <w:rPr>
          <w:rFonts w:ascii="Times New Roman" w:hAnsi="Times New Roman" w:cs="Times New Roman"/>
          <w:b/>
          <w:sz w:val="26"/>
          <w:szCs w:val="26"/>
        </w:rPr>
        <w:t>Требования к разрабатываемой документации</w:t>
      </w:r>
    </w:p>
    <w:p w14:paraId="63C7DF77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rFonts w:eastAsia="Times New Roman"/>
          <w:sz w:val="26"/>
          <w:szCs w:val="26"/>
        </w:rPr>
      </w:pPr>
      <w:r w:rsidRPr="001E4CBF">
        <w:rPr>
          <w:rFonts w:eastAsia="Times New Roman"/>
          <w:sz w:val="26"/>
          <w:szCs w:val="26"/>
        </w:rPr>
        <w:t>5.1 Требования к отчету исследовательской работы.</w:t>
      </w:r>
    </w:p>
    <w:p w14:paraId="05D4D2D1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Требования к оформлению отчета:</w:t>
      </w:r>
    </w:p>
    <w:p w14:paraId="50A855B2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Структурными элементами отчета исследовательской работы (далее – Отчет) должны являться:</w:t>
      </w:r>
    </w:p>
    <w:p w14:paraId="64EC6939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- титульный лист;</w:t>
      </w:r>
    </w:p>
    <w:p w14:paraId="5C8DAE8F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- список исполнителей;</w:t>
      </w:r>
    </w:p>
    <w:p w14:paraId="426E91A5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- реферат;</w:t>
      </w:r>
    </w:p>
    <w:p w14:paraId="26D63DC9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- содержание;</w:t>
      </w:r>
    </w:p>
    <w:p w14:paraId="040D0F81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lastRenderedPageBreak/>
        <w:t>- термины и определения;</w:t>
      </w:r>
    </w:p>
    <w:p w14:paraId="04188648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- перечень сокращений и обозначений;</w:t>
      </w:r>
    </w:p>
    <w:p w14:paraId="3BE43765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- введение;</w:t>
      </w:r>
    </w:p>
    <w:p w14:paraId="3D2E0338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- основная часть исследовательской работы;</w:t>
      </w:r>
    </w:p>
    <w:p w14:paraId="293E59E8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- заключение;</w:t>
      </w:r>
    </w:p>
    <w:p w14:paraId="580BD599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- список использованных источников;</w:t>
      </w:r>
    </w:p>
    <w:p w14:paraId="590E30E3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- приложения (при необходимости).</w:t>
      </w:r>
    </w:p>
    <w:p w14:paraId="10765A4C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Оглавление должно включать наименование всех разделов, подразделов, пунктов (если они имеют наименование) и наименование приложений с указанием номеров страниц, с которых начинаются соответствующие элементы Отчета.</w:t>
      </w:r>
    </w:p>
    <w:p w14:paraId="2772C351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426"/>
        <w:rPr>
          <w:sz w:val="26"/>
          <w:szCs w:val="26"/>
        </w:rPr>
      </w:pPr>
      <w:r w:rsidRPr="001E4CBF">
        <w:rPr>
          <w:sz w:val="26"/>
          <w:szCs w:val="26"/>
        </w:rPr>
        <w:t>При составлении Отчета, состоящего из двух и более частей, оглавление должно быть включено в каждую часть Отчета. При этом в первой части Отчета должно быть помещено оглавление всего Отчета с указанием номеров частей, в последующих – только оглавление соответствующей части. Допускается в первой части Отчета вместо оглавления последующих частей указывать только их наименование (номер).</w:t>
      </w:r>
    </w:p>
    <w:p w14:paraId="78BBCC9E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567"/>
        <w:rPr>
          <w:sz w:val="26"/>
          <w:szCs w:val="26"/>
        </w:rPr>
      </w:pPr>
      <w:r w:rsidRPr="001E4CBF">
        <w:rPr>
          <w:sz w:val="26"/>
          <w:szCs w:val="26"/>
        </w:rPr>
        <w:t>Структурный элемент Отчета «Обозначения и сокращения» должен содержать перечень обозначений и сокращений, применяемых в Отчете.</w:t>
      </w:r>
    </w:p>
    <w:p w14:paraId="57A5D391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567"/>
        <w:rPr>
          <w:sz w:val="26"/>
          <w:szCs w:val="26"/>
        </w:rPr>
      </w:pPr>
      <w:r w:rsidRPr="001E4CBF">
        <w:rPr>
          <w:sz w:val="26"/>
          <w:szCs w:val="26"/>
        </w:rPr>
        <w:t>Основная часть Отчета должна отражать деятельность Подрядчика по выполнению исследовательской работы.</w:t>
      </w:r>
    </w:p>
    <w:p w14:paraId="0FB2396C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567"/>
        <w:rPr>
          <w:sz w:val="26"/>
          <w:szCs w:val="26"/>
        </w:rPr>
      </w:pPr>
      <w:r w:rsidRPr="001E4CBF">
        <w:rPr>
          <w:sz w:val="26"/>
          <w:szCs w:val="26"/>
        </w:rPr>
        <w:t>Заключение должно содержать краткие выводы по результатам выполнения исследовательской работы, оценку полноты решений целей и задач, указанных в пункте 3 настоящего технического задания.</w:t>
      </w:r>
    </w:p>
    <w:p w14:paraId="43518C3F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567"/>
        <w:rPr>
          <w:sz w:val="26"/>
          <w:szCs w:val="26"/>
        </w:rPr>
      </w:pPr>
      <w:r w:rsidRPr="001E4CBF">
        <w:rPr>
          <w:sz w:val="26"/>
          <w:szCs w:val="26"/>
        </w:rPr>
        <w:t>Документы и (или) материалы, связанные с выполнением исследовательской работы, которые не могут быть включены в основную часть Отчета или которые целесообразно представлять в виде отдельно указанных документов, рекомендуется включать в Приложения.</w:t>
      </w:r>
    </w:p>
    <w:p w14:paraId="2A7E2694" w14:textId="77777777" w:rsidR="00F527A0" w:rsidRPr="001E4CBF" w:rsidRDefault="00F527A0" w:rsidP="00F527A0">
      <w:pPr>
        <w:shd w:val="clear" w:color="auto" w:fill="FFFFFF" w:themeFill="background1"/>
        <w:spacing w:line="240" w:lineRule="auto"/>
        <w:ind w:firstLine="567"/>
        <w:rPr>
          <w:sz w:val="26"/>
          <w:szCs w:val="26"/>
        </w:rPr>
      </w:pPr>
    </w:p>
    <w:p w14:paraId="449ABF80" w14:textId="77777777" w:rsidR="00F527A0" w:rsidRPr="001E4CBF" w:rsidRDefault="00F527A0" w:rsidP="00F527A0">
      <w:pPr>
        <w:pStyle w:val="ListParagraph1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4CBF">
        <w:rPr>
          <w:rFonts w:ascii="Times New Roman" w:hAnsi="Times New Roman" w:cs="Times New Roman"/>
          <w:sz w:val="26"/>
          <w:szCs w:val="26"/>
        </w:rPr>
        <w:t xml:space="preserve">5.2 Отчетные материалы по результатам выполнения аналитической работы представляются Заказчику на бумажном носителе в одном экземпляре по адресу: г. Москва, ул. Мясницкая, д. 13, стр. 18, а также направляются в электронном виде по электронному адресу: </w:t>
      </w:r>
      <w:hyperlink r:id="rId5" w:history="1">
        <w:r w:rsidRPr="001E4CBF">
          <w:rPr>
            <w:rStyle w:val="a3"/>
            <w:rFonts w:ascii="Times New Roman" w:hAnsi="Times New Roman" w:cs="Times New Roman"/>
            <w:sz w:val="26"/>
            <w:szCs w:val="26"/>
          </w:rPr>
          <w:t>kzendrikov@iidf.ru</w:t>
        </w:r>
      </w:hyperlink>
      <w:r w:rsidRPr="001E4CBF">
        <w:rPr>
          <w:rFonts w:ascii="Times New Roman" w:hAnsi="Times New Roman" w:cs="Times New Roman"/>
          <w:sz w:val="26"/>
          <w:szCs w:val="26"/>
        </w:rPr>
        <w:t>. Контактное лицо: Зендриков Кирилл Юрьевич.</w:t>
      </w:r>
    </w:p>
    <w:p w14:paraId="7FB17321" w14:textId="77777777" w:rsidR="00F527A0" w:rsidRPr="001E4CBF" w:rsidRDefault="00F527A0" w:rsidP="00F527A0">
      <w:pPr>
        <w:pStyle w:val="ListParagraph1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CBF">
        <w:rPr>
          <w:rFonts w:ascii="Times New Roman" w:hAnsi="Times New Roman" w:cs="Times New Roman"/>
          <w:b/>
          <w:sz w:val="26"/>
          <w:szCs w:val="26"/>
        </w:rPr>
        <w:t>Сроки и место выполнения работы</w:t>
      </w:r>
    </w:p>
    <w:p w14:paraId="559AACD4" w14:textId="77777777" w:rsidR="00F527A0" w:rsidRPr="001E4CBF" w:rsidRDefault="00F527A0" w:rsidP="00F527A0">
      <w:pPr>
        <w:pStyle w:val="ListParagraph1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4CBF">
        <w:rPr>
          <w:rFonts w:ascii="Times New Roman" w:hAnsi="Times New Roman" w:cs="Times New Roman"/>
          <w:sz w:val="26"/>
          <w:szCs w:val="26"/>
        </w:rPr>
        <w:t>6.1 Исследование выполняется в один этап: с момента заключения настоящего договора до 10.12.2022.</w:t>
      </w:r>
    </w:p>
    <w:p w14:paraId="29E513F7" w14:textId="77777777" w:rsidR="00F527A0" w:rsidRPr="001E4CBF" w:rsidRDefault="00F527A0" w:rsidP="00F527A0">
      <w:pPr>
        <w:pStyle w:val="ListParagraph1"/>
        <w:numPr>
          <w:ilvl w:val="1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  <w:r w:rsidRPr="001E4CBF">
        <w:rPr>
          <w:rFonts w:ascii="Times New Roman" w:hAnsi="Times New Roman" w:cs="Times New Roman"/>
          <w:sz w:val="26"/>
          <w:szCs w:val="26"/>
        </w:rPr>
        <w:t>Место выполнения работ – г. Москва.</w:t>
      </w:r>
    </w:p>
    <w:p w14:paraId="543BA121" w14:textId="77777777" w:rsidR="00F527A0" w:rsidRPr="001E4CBF" w:rsidRDefault="00F527A0" w:rsidP="00F527A0">
      <w:pPr>
        <w:pStyle w:val="ListParagraph1"/>
        <w:shd w:val="clear" w:color="auto" w:fill="FFFFFF" w:themeFill="background1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1E4CBF">
        <w:rPr>
          <w:rFonts w:ascii="Times New Roman" w:hAnsi="Times New Roman" w:cs="Times New Roman"/>
          <w:b/>
          <w:sz w:val="26"/>
          <w:szCs w:val="26"/>
        </w:rPr>
        <w:t>Отчётные материалы по результатам выполнения работы</w:t>
      </w:r>
    </w:p>
    <w:p w14:paraId="0B948E1A" w14:textId="115E196B" w:rsidR="00F527A0" w:rsidRDefault="00F527A0" w:rsidP="000E6A27">
      <w:pPr>
        <w:pStyle w:val="ListParagraph1"/>
        <w:shd w:val="clear" w:color="auto" w:fill="FFFFFF" w:themeFill="background1"/>
        <w:ind w:left="0"/>
        <w:jc w:val="both"/>
        <w:rPr>
          <w:sz w:val="26"/>
          <w:szCs w:val="26"/>
        </w:rPr>
      </w:pPr>
      <w:r w:rsidRPr="001E4CBF">
        <w:rPr>
          <w:rFonts w:ascii="Times New Roman" w:hAnsi="Times New Roman" w:cs="Times New Roman"/>
          <w:sz w:val="26"/>
          <w:szCs w:val="26"/>
        </w:rPr>
        <w:t>7.1 По итогам выполнения Договора должен быть подготовлен Отчет об аналитической работе, содержащий результаты выполнения работ в соответствии с целями и задачами аналитической работы (п.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4CBF">
        <w:rPr>
          <w:rFonts w:ascii="Times New Roman" w:hAnsi="Times New Roman" w:cs="Times New Roman"/>
          <w:sz w:val="26"/>
          <w:szCs w:val="26"/>
        </w:rPr>
        <w:t>4 Технического задания).</w:t>
      </w:r>
    </w:p>
    <w:p w14:paraId="5D1C275A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1C1E9278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5BE5D936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1BCAE1BC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5142991A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02F84FF1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0B1F8DB2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548BA188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0BC0D443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7F9BCE2D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17418B43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48884701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2F18DE03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6809DB19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5D274F42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48187683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6D8749C4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7A25DDA9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19B5872C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640F5050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3A890925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3630A27D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02D66B48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p w14:paraId="76DE62C6" w14:textId="77777777" w:rsidR="00F527A0" w:rsidRDefault="00F527A0" w:rsidP="00F527A0">
      <w:pPr>
        <w:jc w:val="left"/>
        <w:rPr>
          <w:rFonts w:eastAsia="SimSun"/>
          <w:sz w:val="26"/>
          <w:szCs w:val="26"/>
          <w:lang w:eastAsia="ar-SA"/>
        </w:rPr>
      </w:pPr>
    </w:p>
    <w:sectPr w:rsidR="00F527A0" w:rsidSect="00F4171C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B885E90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2040F59"/>
    <w:multiLevelType w:val="multilevel"/>
    <w:tmpl w:val="440851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A92AA9"/>
    <w:multiLevelType w:val="hybridMultilevel"/>
    <w:tmpl w:val="20B08140"/>
    <w:lvl w:ilvl="0" w:tplc="D11A8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0F50"/>
    <w:multiLevelType w:val="multilevel"/>
    <w:tmpl w:val="67B4F7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04078538">
    <w:abstractNumId w:val="0"/>
  </w:num>
  <w:num w:numId="2" w16cid:durableId="619799755">
    <w:abstractNumId w:val="2"/>
  </w:num>
  <w:num w:numId="3" w16cid:durableId="505096565">
    <w:abstractNumId w:val="3"/>
  </w:num>
  <w:num w:numId="4" w16cid:durableId="51415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67"/>
    <w:rsid w:val="000E6A27"/>
    <w:rsid w:val="001D7C76"/>
    <w:rsid w:val="002B2DB0"/>
    <w:rsid w:val="00484C11"/>
    <w:rsid w:val="004B4C67"/>
    <w:rsid w:val="009B746F"/>
    <w:rsid w:val="00CD6DB2"/>
    <w:rsid w:val="00E23B6B"/>
    <w:rsid w:val="00F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A960"/>
  <w15:chartTrackingRefBased/>
  <w15:docId w15:val="{1743FC78-A131-4D5C-8747-10B2358A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A0"/>
    <w:pPr>
      <w:suppressAutoHyphens/>
      <w:spacing w:after="0" w:line="276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7A0"/>
    <w:rPr>
      <w:color w:val="0563C1" w:themeColor="hyperlink"/>
      <w:u w:val="single"/>
    </w:rPr>
  </w:style>
  <w:style w:type="paragraph" w:styleId="a4">
    <w:name w:val="No Spacing"/>
    <w:uiPriority w:val="1"/>
    <w:qFormat/>
    <w:rsid w:val="00F5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ПАРАГРАФ Знак,Абзац списка3 Знак,Title Знак,Title1 Знак,1 Знак,UL Знак,Абзац маркированнный Знак,Абзац списка основной Знак,Абзац списка4 Знак,Bullet List Знак,FooterText Знак,numbered Знак,список 1 Знак,рабочий Знак,СПИСОК Знак"/>
    <w:basedOn w:val="a0"/>
    <w:link w:val="a6"/>
    <w:uiPriority w:val="34"/>
    <w:qFormat/>
    <w:locked/>
    <w:rsid w:val="00F527A0"/>
    <w:rPr>
      <w:rFonts w:ascii="Times New Roman" w:hAnsi="Times New Roman" w:cs="Times New Roman"/>
      <w:sz w:val="24"/>
      <w:szCs w:val="24"/>
    </w:rPr>
  </w:style>
  <w:style w:type="paragraph" w:styleId="a6">
    <w:name w:val="List Paragraph"/>
    <w:aliases w:val="ПАРАГРАФ,Абзац списка3,Title,Title1,1,UL,Абзац маркированнный,Абзац списка основной,Абзац списка4,Bullet List,FooterText,numbered,список 1,рабочий,СПИСОК,ParaList1,RSHB_Table-Normal,Table-Normal,Абзац списка литеральный,Абзац списка2,Пункт"/>
    <w:basedOn w:val="a"/>
    <w:link w:val="a5"/>
    <w:uiPriority w:val="34"/>
    <w:qFormat/>
    <w:rsid w:val="00F527A0"/>
    <w:pPr>
      <w:ind w:left="720"/>
      <w:contextualSpacing/>
    </w:pPr>
  </w:style>
  <w:style w:type="paragraph" w:customStyle="1" w:styleId="main">
    <w:name w:val="main"/>
    <w:basedOn w:val="a"/>
    <w:qFormat/>
    <w:rsid w:val="00F527A0"/>
    <w:pPr>
      <w:keepNext/>
      <w:keepLines/>
      <w:suppressAutoHyphens w:val="0"/>
      <w:spacing w:before="60" w:after="60" w:line="360" w:lineRule="auto"/>
    </w:pPr>
    <w:rPr>
      <w:rFonts w:eastAsia="Calibri"/>
    </w:rPr>
  </w:style>
  <w:style w:type="paragraph" w:customStyle="1" w:styleId="ListParagraph1">
    <w:name w:val="List Paragraph1"/>
    <w:basedOn w:val="a"/>
    <w:rsid w:val="00F527A0"/>
    <w:pPr>
      <w:spacing w:after="160" w:line="252" w:lineRule="auto"/>
      <w:ind w:left="720" w:firstLine="0"/>
      <w:jc w:val="left"/>
    </w:pPr>
    <w:rPr>
      <w:rFonts w:ascii="Calibri" w:eastAsia="SimSun" w:hAnsi="Calibri" w:cs="font26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zendrikov@iid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1716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Поджарова Светлана Фаритовна</dc:creator>
  <cp:keywords/>
  <dc:description/>
  <cp:lastModifiedBy>Попова Ирина Александровна</cp:lastModifiedBy>
  <cp:revision>5</cp:revision>
  <dcterms:created xsi:type="dcterms:W3CDTF">2022-08-19T10:26:00Z</dcterms:created>
  <dcterms:modified xsi:type="dcterms:W3CDTF">2022-08-19T10:29:00Z</dcterms:modified>
</cp:coreProperties>
</file>