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BC7DF90" w:rsidR="00741709" w:rsidRDefault="00741709">
      <w:pPr>
        <w:spacing w:line="240" w:lineRule="auto"/>
        <w:rPr>
          <w:rFonts w:ascii="Times New Roman" w:eastAsia="Times New Roman" w:hAnsi="Times New Roman" w:cs="Times New Roman"/>
          <w:b/>
        </w:rPr>
      </w:pPr>
    </w:p>
    <w:p w14:paraId="7DD864DC" w14:textId="46EC792A" w:rsidR="00F02470" w:rsidRPr="00F02470" w:rsidRDefault="00F02470">
      <w:pPr>
        <w:spacing w:line="240" w:lineRule="auto"/>
        <w:rPr>
          <w:rFonts w:ascii="Times New Roman" w:eastAsia="Times New Roman" w:hAnsi="Times New Roman" w:cs="Times New Roman"/>
          <w:b/>
          <w:lang w:val="ru-RU"/>
        </w:rPr>
      </w:pPr>
      <w:r>
        <w:rPr>
          <w:rFonts w:ascii="Times New Roman" w:eastAsia="Times New Roman" w:hAnsi="Times New Roman" w:cs="Times New Roman"/>
          <w:b/>
          <w:lang w:val="ru-RU"/>
        </w:rPr>
        <w:t xml:space="preserve">                                                         </w:t>
      </w:r>
      <w:r w:rsidRPr="00F02470">
        <w:rPr>
          <w:rFonts w:ascii="Times New Roman" w:eastAsia="Times New Roman" w:hAnsi="Times New Roman" w:cs="Times New Roman"/>
          <w:b/>
          <w:color w:val="365F91" w:themeColor="accent1" w:themeShade="BF"/>
          <w:lang w:val="ru-RU"/>
        </w:rPr>
        <w:t xml:space="preserve">ЧАСТЬ </w:t>
      </w:r>
      <w:r w:rsidRPr="00F02470">
        <w:rPr>
          <w:rFonts w:ascii="Times New Roman" w:eastAsia="Times New Roman" w:hAnsi="Times New Roman" w:cs="Times New Roman"/>
          <w:b/>
          <w:color w:val="365F91" w:themeColor="accent1" w:themeShade="BF"/>
          <w:lang w:val="en-US"/>
        </w:rPr>
        <w:t>VI</w:t>
      </w:r>
      <w:r w:rsidRPr="00404B2D">
        <w:rPr>
          <w:rFonts w:ascii="Times New Roman" w:eastAsia="Times New Roman" w:hAnsi="Times New Roman" w:cs="Times New Roman"/>
          <w:b/>
          <w:color w:val="365F91" w:themeColor="accent1" w:themeShade="BF"/>
          <w:lang w:val="ru-RU"/>
        </w:rPr>
        <w:t xml:space="preserve"> </w:t>
      </w:r>
      <w:r w:rsidRPr="00F02470">
        <w:rPr>
          <w:rFonts w:ascii="Times New Roman" w:eastAsia="Times New Roman" w:hAnsi="Times New Roman" w:cs="Times New Roman"/>
          <w:b/>
          <w:color w:val="365F91" w:themeColor="accent1" w:themeShade="BF"/>
          <w:lang w:val="ru-RU"/>
        </w:rPr>
        <w:t>ЗАКУПОЧНОЙ ДОКУМЕНТАЦИИ</w:t>
      </w:r>
    </w:p>
    <w:p w14:paraId="00000002" w14:textId="77777777" w:rsidR="00741709" w:rsidRDefault="00741709">
      <w:pPr>
        <w:spacing w:line="240" w:lineRule="auto"/>
        <w:jc w:val="center"/>
        <w:rPr>
          <w:rFonts w:ascii="Times New Roman" w:eastAsia="Times New Roman" w:hAnsi="Times New Roman" w:cs="Times New Roman"/>
          <w:b/>
        </w:rPr>
      </w:pPr>
    </w:p>
    <w:p w14:paraId="00000003" w14:textId="77777777" w:rsidR="00741709" w:rsidRDefault="00F02470">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Техническое задание</w:t>
      </w:r>
    </w:p>
    <w:p w14:paraId="00000004" w14:textId="77777777" w:rsidR="00741709" w:rsidRDefault="00F02470">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на оказание услуг по проведению тематических встреч технологических компаний с экспертами в рамках акселерации проектов по разработке российских решений в сфере информационных технологий, проводимых Фондом развития интернет-инициатив в 2023 году в целях реализации федерального проекта «Цифровые технологии» национальной программы «Цифровая экономика Российской Федерации»</w:t>
      </w:r>
    </w:p>
    <w:p w14:paraId="00000005" w14:textId="77777777" w:rsidR="00741709" w:rsidRDefault="00741709">
      <w:pPr>
        <w:spacing w:line="240" w:lineRule="auto"/>
        <w:jc w:val="center"/>
        <w:rPr>
          <w:rFonts w:ascii="Times New Roman" w:eastAsia="Times New Roman" w:hAnsi="Times New Roman" w:cs="Times New Roman"/>
          <w:b/>
        </w:rPr>
      </w:pPr>
    </w:p>
    <w:p w14:paraId="00000006" w14:textId="77777777" w:rsidR="00741709" w:rsidRDefault="00741709">
      <w:pPr>
        <w:spacing w:line="240" w:lineRule="auto"/>
        <w:jc w:val="center"/>
        <w:rPr>
          <w:rFonts w:ascii="Times New Roman" w:eastAsia="Times New Roman" w:hAnsi="Times New Roman" w:cs="Times New Roman"/>
          <w:b/>
        </w:rPr>
      </w:pPr>
    </w:p>
    <w:p w14:paraId="00000007" w14:textId="77777777" w:rsidR="00741709" w:rsidRDefault="00F02470">
      <w:pPr>
        <w:numPr>
          <w:ilvl w:val="0"/>
          <w:numId w:val="1"/>
        </w:numPr>
        <w:spacing w:line="240" w:lineRule="auto"/>
        <w:jc w:val="both"/>
        <w:rPr>
          <w:rFonts w:ascii="Times New Roman" w:eastAsia="Times New Roman" w:hAnsi="Times New Roman" w:cs="Times New Roman"/>
        </w:rPr>
      </w:pPr>
      <w:r>
        <w:rPr>
          <w:rFonts w:ascii="Times New Roman" w:eastAsia="Times New Roman" w:hAnsi="Times New Roman" w:cs="Times New Roman"/>
          <w:b/>
        </w:rPr>
        <w:t>Заказчик</w:t>
      </w:r>
    </w:p>
    <w:p w14:paraId="00000008" w14:textId="77777777" w:rsidR="00741709" w:rsidRDefault="00F02470">
      <w:pPr>
        <w:spacing w:line="240" w:lineRule="auto"/>
        <w:jc w:val="both"/>
        <w:rPr>
          <w:rFonts w:ascii="Times New Roman" w:eastAsia="Times New Roman" w:hAnsi="Times New Roman" w:cs="Times New Roman"/>
        </w:rPr>
      </w:pPr>
      <w:r>
        <w:rPr>
          <w:rFonts w:ascii="Times New Roman" w:eastAsia="Times New Roman" w:hAnsi="Times New Roman" w:cs="Times New Roman"/>
        </w:rPr>
        <w:t>Фонд развития интернет-инициатив (далее – Фонд, Заказчик).</w:t>
      </w:r>
    </w:p>
    <w:p w14:paraId="00000009" w14:textId="77777777" w:rsidR="00741709" w:rsidRDefault="00741709">
      <w:pPr>
        <w:spacing w:line="240" w:lineRule="auto"/>
        <w:jc w:val="both"/>
        <w:rPr>
          <w:rFonts w:ascii="Times New Roman" w:eastAsia="Times New Roman" w:hAnsi="Times New Roman" w:cs="Times New Roman"/>
        </w:rPr>
      </w:pPr>
    </w:p>
    <w:p w14:paraId="0000000A" w14:textId="77777777" w:rsidR="00741709" w:rsidRDefault="00F02470">
      <w:pPr>
        <w:numPr>
          <w:ilvl w:val="0"/>
          <w:numId w:val="1"/>
        </w:numPr>
        <w:spacing w:line="240" w:lineRule="auto"/>
        <w:jc w:val="both"/>
        <w:rPr>
          <w:rFonts w:ascii="Times New Roman" w:eastAsia="Times New Roman" w:hAnsi="Times New Roman" w:cs="Times New Roman"/>
        </w:rPr>
      </w:pPr>
      <w:r>
        <w:rPr>
          <w:rFonts w:ascii="Times New Roman" w:eastAsia="Times New Roman" w:hAnsi="Times New Roman" w:cs="Times New Roman"/>
          <w:b/>
        </w:rPr>
        <w:t>Объект закупки</w:t>
      </w:r>
    </w:p>
    <w:p w14:paraId="0000000B"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rPr>
        <w:t xml:space="preserve">Оказание услуг по проведению </w:t>
      </w:r>
      <w:r>
        <w:rPr>
          <w:rFonts w:ascii="Times New Roman" w:eastAsia="Times New Roman" w:hAnsi="Times New Roman" w:cs="Times New Roman"/>
          <w:highlight w:val="white"/>
        </w:rPr>
        <w:t>тематических встреч технологических компаний с экспертами в рамках акселерации проектов</w:t>
      </w:r>
      <w:r>
        <w:rPr>
          <w:rFonts w:ascii="Times New Roman" w:eastAsia="Times New Roman" w:hAnsi="Times New Roman" w:cs="Times New Roman"/>
        </w:rPr>
        <w:t xml:space="preserve"> по разработке российских решений в сфере информационных технологий, проводимых Фондом развития интернет-инициатив в 2023 году в целях реализации федерального</w:t>
      </w:r>
      <w:hyperlink r:id="rId6">
        <w:r>
          <w:rPr>
            <w:rFonts w:ascii="Times New Roman" w:eastAsia="Times New Roman" w:hAnsi="Times New Roman" w:cs="Times New Roman"/>
          </w:rPr>
          <w:t xml:space="preserve"> проекта</w:t>
        </w:r>
      </w:hyperlink>
      <w:r>
        <w:rPr>
          <w:rFonts w:ascii="Times New Roman" w:eastAsia="Times New Roman" w:hAnsi="Times New Roman" w:cs="Times New Roman"/>
        </w:rPr>
        <w:t xml:space="preserve"> «Цифровые технологии» национальной</w:t>
      </w:r>
      <w:hyperlink r:id="rId7">
        <w:r>
          <w:rPr>
            <w:rFonts w:ascii="Times New Roman" w:eastAsia="Times New Roman" w:hAnsi="Times New Roman" w:cs="Times New Roman"/>
          </w:rPr>
          <w:t xml:space="preserve"> программы</w:t>
        </w:r>
      </w:hyperlink>
      <w:r>
        <w:rPr>
          <w:rFonts w:ascii="Times New Roman" w:eastAsia="Times New Roman" w:hAnsi="Times New Roman" w:cs="Times New Roman"/>
        </w:rPr>
        <w:t xml:space="preserve"> «Цифровая экономика Российской Федерации» </w:t>
      </w:r>
      <w:r>
        <w:rPr>
          <w:rFonts w:ascii="Times New Roman" w:eastAsia="Times New Roman" w:hAnsi="Times New Roman" w:cs="Times New Roman"/>
          <w:b/>
          <w:highlight w:val="white"/>
        </w:rPr>
        <w:t>(</w:t>
      </w:r>
      <w:r>
        <w:rPr>
          <w:rFonts w:ascii="Times New Roman" w:eastAsia="Times New Roman" w:hAnsi="Times New Roman" w:cs="Times New Roman"/>
          <w:highlight w:val="white"/>
        </w:rPr>
        <w:t>далее по тексту - тематические встречи).</w:t>
      </w:r>
    </w:p>
    <w:p w14:paraId="0000000C" w14:textId="77777777" w:rsidR="00741709" w:rsidRDefault="00741709">
      <w:pPr>
        <w:spacing w:line="240" w:lineRule="auto"/>
        <w:jc w:val="both"/>
        <w:rPr>
          <w:rFonts w:ascii="Times New Roman" w:eastAsia="Times New Roman" w:hAnsi="Times New Roman" w:cs="Times New Roman"/>
          <w:b/>
          <w:highlight w:val="white"/>
        </w:rPr>
      </w:pPr>
    </w:p>
    <w:p w14:paraId="0000000D" w14:textId="77777777" w:rsidR="00741709" w:rsidRDefault="00F02470">
      <w:pPr>
        <w:numPr>
          <w:ilvl w:val="0"/>
          <w:numId w:val="1"/>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Источник финансирования и порядок оплаты услуг</w:t>
      </w:r>
    </w:p>
    <w:p w14:paraId="0000000E"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3.1. Источник финансирования </w:t>
      </w:r>
      <w:r>
        <w:rPr>
          <w:rFonts w:ascii="Times New Roman" w:eastAsia="Times New Roman" w:hAnsi="Times New Roman" w:cs="Times New Roman"/>
        </w:rPr>
        <w:t>–</w:t>
      </w:r>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cредства</w:t>
      </w:r>
      <w:proofErr w:type="spellEnd"/>
      <w:r>
        <w:rPr>
          <w:rFonts w:ascii="Times New Roman" w:eastAsia="Times New Roman" w:hAnsi="Times New Roman" w:cs="Times New Roman"/>
          <w:highlight w:val="white"/>
        </w:rPr>
        <w:t xml:space="preserve"> субсидии из федерального бюджета в соответствии с Соглашением о предоставлении из федерального бюджета субсидии некоммерческой организации, не являющейся государственным (муниципальным) учреждением </w:t>
      </w:r>
      <w:proofErr w:type="gramStart"/>
      <w:r>
        <w:rPr>
          <w:rFonts w:ascii="Times New Roman" w:eastAsia="Times New Roman" w:hAnsi="Times New Roman" w:cs="Times New Roman"/>
          <w:highlight w:val="white"/>
        </w:rPr>
        <w:t>№071-10-2021-005</w:t>
      </w:r>
      <w:proofErr w:type="gramEnd"/>
      <w:r>
        <w:rPr>
          <w:rFonts w:ascii="Times New Roman" w:eastAsia="Times New Roman" w:hAnsi="Times New Roman" w:cs="Times New Roman"/>
          <w:highlight w:val="white"/>
        </w:rPr>
        <w:t xml:space="preserve"> от 10 февраля 2021г. в целях осуществления акселерации проектов по разработке российских решений в сфере ИТ. Идентификатор Соглашения №000000D507121P0B0002.</w:t>
      </w:r>
    </w:p>
    <w:p w14:paraId="0000000F"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3.2. Расходы на оплату предусмотрены пунктом 4 постановления Правительства Российской Федерации от 20.12.2021 №2254 «Правила предоставления субсидии из федерального бюджета Фонду развития интернет-инициатив на осуществление акселерации проектов по разработке российских решений в сфере информационных технологий» (далее - Правила).</w:t>
      </w:r>
    </w:p>
    <w:p w14:paraId="00000010"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Закупка соответствует статье бюджета «Оплата работ (Услуг) сторонних организаций». </w:t>
      </w:r>
    </w:p>
    <w:p w14:paraId="00000011" w14:textId="77777777" w:rsidR="00741709" w:rsidRDefault="00741709">
      <w:pPr>
        <w:spacing w:line="240" w:lineRule="auto"/>
        <w:jc w:val="both"/>
        <w:rPr>
          <w:rFonts w:ascii="Times New Roman" w:eastAsia="Times New Roman" w:hAnsi="Times New Roman" w:cs="Times New Roman"/>
          <w:highlight w:val="white"/>
        </w:rPr>
      </w:pPr>
    </w:p>
    <w:p w14:paraId="00000012" w14:textId="77777777" w:rsidR="00741709" w:rsidRDefault="00F02470">
      <w:pPr>
        <w:numPr>
          <w:ilvl w:val="0"/>
          <w:numId w:val="1"/>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Термины и понятия, используемые в текущем ТЗ</w:t>
      </w:r>
    </w:p>
    <w:p w14:paraId="00000013"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Акселератор</w:t>
      </w:r>
      <w:r>
        <w:rPr>
          <w:rFonts w:ascii="Times New Roman" w:eastAsia="Times New Roman" w:hAnsi="Times New Roman" w:cs="Times New Roman"/>
          <w:highlight w:val="white"/>
        </w:rPr>
        <w:t xml:space="preserve"> – основной этап акселерационной программы, участие в котором принимают финалисты конкурсного отбора, включающий анализ представленных решений в сфере информационных технологий, наставничество, консультирование в целях их успешной реализации, а также повышения инвестиционной привлекательности проектов.</w:t>
      </w:r>
    </w:p>
    <w:p w14:paraId="00000014"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Акселерационная программа</w:t>
      </w:r>
      <w:r>
        <w:rPr>
          <w:rFonts w:ascii="Times New Roman" w:eastAsia="Times New Roman" w:hAnsi="Times New Roman" w:cs="Times New Roman"/>
          <w:highlight w:val="white"/>
        </w:rPr>
        <w:t xml:space="preserve"> – комплекс мер нефинансового характера, предназначенных для поддержки российских технологических компаний при реализации проектов по разработке, коммерциализации, внедрению российских решений в сфере информационных технологий, включающих анализ таких проектов, наставничество, консультирование в процессе реализации проектов в целях их успешной реализации за счет нивелирования предпринимательских рисков, развития профессиональных компетенций сотрудников, а также повышения инвестиционной привлекательности проектов.</w:t>
      </w:r>
    </w:p>
    <w:p w14:paraId="00000015" w14:textId="77777777" w:rsidR="00741709" w:rsidRDefault="00F02470">
      <w:pPr>
        <w:spacing w:line="240" w:lineRule="auto"/>
        <w:jc w:val="both"/>
        <w:rPr>
          <w:rFonts w:ascii="Times New Roman" w:eastAsia="Times New Roman" w:hAnsi="Times New Roman" w:cs="Times New Roman"/>
        </w:rPr>
      </w:pPr>
      <w:r>
        <w:rPr>
          <w:rFonts w:ascii="Times New Roman" w:eastAsia="Times New Roman" w:hAnsi="Times New Roman" w:cs="Times New Roman"/>
          <w:b/>
        </w:rPr>
        <w:t>Акселерация проектов</w:t>
      </w:r>
      <w:r>
        <w:rPr>
          <w:rFonts w:ascii="Times New Roman" w:eastAsia="Times New Roman" w:hAnsi="Times New Roman" w:cs="Times New Roman"/>
        </w:rPr>
        <w:t xml:space="preserve"> - комплекс мероприятий, направленных на ускоренное развитие российских решений в сфере информационных технологий, разрабатываемых российскими технологическими компаниями, включающий проведение акселерационных программ и информационно-методическое и экспертное сопровождение акселерационных программ.</w:t>
      </w:r>
    </w:p>
    <w:p w14:paraId="00000016" w14:textId="77777777" w:rsidR="00741709" w:rsidRDefault="00F02470">
      <w:pPr>
        <w:spacing w:line="240" w:lineRule="auto"/>
        <w:jc w:val="both"/>
        <w:rPr>
          <w:rFonts w:ascii="Times New Roman" w:eastAsia="Times New Roman" w:hAnsi="Times New Roman" w:cs="Times New Roman"/>
        </w:rPr>
      </w:pPr>
      <w:r>
        <w:rPr>
          <w:rFonts w:ascii="Times New Roman" w:eastAsia="Times New Roman" w:hAnsi="Times New Roman" w:cs="Times New Roman"/>
          <w:b/>
        </w:rPr>
        <w:t>Аутсорсинговые услуги</w:t>
      </w:r>
      <w:r>
        <w:rPr>
          <w:rFonts w:ascii="Times New Roman" w:eastAsia="Times New Roman" w:hAnsi="Times New Roman" w:cs="Times New Roman"/>
        </w:rPr>
        <w:t xml:space="preserve"> - услуги аутсорсинга подразумевают передачу определенных функций специалистам другой компании.</w:t>
      </w:r>
    </w:p>
    <w:p w14:paraId="00000017"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Команда проекта</w:t>
      </w:r>
      <w:r>
        <w:rPr>
          <w:rFonts w:ascii="Times New Roman" w:eastAsia="Times New Roman" w:hAnsi="Times New Roman" w:cs="Times New Roman"/>
          <w:highlight w:val="white"/>
        </w:rPr>
        <w:t xml:space="preserve"> (команда) – физические лица, задействованные в реализации проекта.</w:t>
      </w:r>
    </w:p>
    <w:p w14:paraId="00000018" w14:textId="77777777" w:rsidR="00741709" w:rsidRDefault="00F02470">
      <w:pPr>
        <w:shd w:val="clear" w:color="auto" w:fill="FFFFFF"/>
        <w:spacing w:line="240" w:lineRule="auto"/>
        <w:jc w:val="both"/>
        <w:rPr>
          <w:rFonts w:ascii="Times New Roman" w:eastAsia="Times New Roman" w:hAnsi="Times New Roman" w:cs="Times New Roman"/>
          <w:b/>
        </w:rPr>
      </w:pPr>
      <w:r>
        <w:rPr>
          <w:rFonts w:ascii="Times New Roman" w:eastAsia="Times New Roman" w:hAnsi="Times New Roman" w:cs="Times New Roman"/>
          <w:b/>
        </w:rPr>
        <w:t>Проект</w:t>
      </w:r>
      <w:r>
        <w:rPr>
          <w:rFonts w:ascii="Times New Roman" w:eastAsia="Times New Roman" w:hAnsi="Times New Roman" w:cs="Times New Roman"/>
        </w:rPr>
        <w:t xml:space="preserve"> – разработка российского решения в сфере информационных технологий, осуществляемая технологической компанией.</w:t>
      </w:r>
    </w:p>
    <w:p w14:paraId="00000019" w14:textId="77777777" w:rsidR="00741709" w:rsidRDefault="00F02470">
      <w:pPr>
        <w:shd w:val="clear" w:color="auto" w:fill="FFFFFF"/>
        <w:spacing w:line="240" w:lineRule="auto"/>
        <w:jc w:val="both"/>
        <w:rPr>
          <w:rFonts w:ascii="Times New Roman" w:eastAsia="Times New Roman" w:hAnsi="Times New Roman" w:cs="Times New Roman"/>
          <w:b/>
        </w:rPr>
      </w:pPr>
      <w:r>
        <w:rPr>
          <w:rFonts w:ascii="Times New Roman" w:eastAsia="Times New Roman" w:hAnsi="Times New Roman" w:cs="Times New Roman"/>
          <w:b/>
        </w:rPr>
        <w:t>Реализация проекта</w:t>
      </w:r>
      <w:r>
        <w:rPr>
          <w:rFonts w:ascii="Times New Roman" w:eastAsia="Times New Roman" w:hAnsi="Times New Roman" w:cs="Times New Roman"/>
        </w:rPr>
        <w:t xml:space="preserve"> – деятельность команды по разработке, доработке, коммерциализации, внедрению проекта.</w:t>
      </w:r>
    </w:p>
    <w:p w14:paraId="0000001A" w14:textId="77777777" w:rsidR="00741709" w:rsidRDefault="00F02470">
      <w:pPr>
        <w:shd w:val="clear" w:color="auto" w:fill="FFFFFF"/>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Система EDU - </w:t>
      </w:r>
      <w:r>
        <w:rPr>
          <w:rFonts w:ascii="Times New Roman" w:eastAsia="Times New Roman" w:hAnsi="Times New Roman" w:cs="Times New Roman"/>
        </w:rPr>
        <w:t>информационная система для проведения конкурсных отборов и акселерационных программ при осуществлении акселерации проектов по разработке российских решений в сфере информационных технологий в рамках реализации федерального проекта «Цифровые технологии» национальной программы «Цифровая экономика Российской Федерации» на площадке https://edu.iidf.ru.</w:t>
      </w:r>
    </w:p>
    <w:p w14:paraId="0000001B"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Технологическая компания</w:t>
      </w:r>
      <w:r>
        <w:rPr>
          <w:rFonts w:ascii="Times New Roman" w:eastAsia="Times New Roman" w:hAnsi="Times New Roman" w:cs="Times New Roman"/>
          <w:highlight w:val="white"/>
        </w:rPr>
        <w:t xml:space="preserve"> - российская компания, разрабатывающая решения в сфере информационных технологий.</w:t>
      </w:r>
    </w:p>
    <w:p w14:paraId="0000001C" w14:textId="77777777" w:rsidR="00741709" w:rsidRDefault="00F02470">
      <w:pPr>
        <w:spacing w:line="240" w:lineRule="auto"/>
        <w:jc w:val="both"/>
        <w:rPr>
          <w:rFonts w:ascii="Times New Roman" w:eastAsia="Times New Roman" w:hAnsi="Times New Roman" w:cs="Times New Roman"/>
          <w:b/>
          <w:highlight w:val="white"/>
        </w:rPr>
      </w:pPr>
      <w:proofErr w:type="spellStart"/>
      <w:r>
        <w:rPr>
          <w:rFonts w:ascii="Times New Roman" w:eastAsia="Times New Roman" w:hAnsi="Times New Roman" w:cs="Times New Roman"/>
          <w:b/>
          <w:highlight w:val="white"/>
        </w:rPr>
        <w:t>Трекер</w:t>
      </w:r>
      <w:proofErr w:type="spellEnd"/>
      <w:r>
        <w:rPr>
          <w:rFonts w:ascii="Times New Roman" w:eastAsia="Times New Roman" w:hAnsi="Times New Roman" w:cs="Times New Roman"/>
          <w:b/>
          <w:highlight w:val="white"/>
        </w:rPr>
        <w:t xml:space="preserve"> </w:t>
      </w:r>
      <w:r>
        <w:rPr>
          <w:rFonts w:ascii="Times New Roman" w:eastAsia="Times New Roman" w:hAnsi="Times New Roman" w:cs="Times New Roman"/>
          <w:highlight w:val="white"/>
        </w:rPr>
        <w:t xml:space="preserve">– специалист, наставник команды, осуществляющий индивидуальное сопровождение и консультирование технологических компаний, являющихся участниками акселератора, на протяжении всей </w:t>
      </w:r>
      <w:r>
        <w:rPr>
          <w:rFonts w:ascii="Times New Roman" w:eastAsia="Times New Roman" w:hAnsi="Times New Roman" w:cs="Times New Roman"/>
          <w:highlight w:val="white"/>
        </w:rPr>
        <w:lastRenderedPageBreak/>
        <w:t>акселерационной программы с целью поддержки развития существующих решений технологической компании и/или вывода на рынок новых решений.</w:t>
      </w:r>
    </w:p>
    <w:p w14:paraId="0000001D"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Участник акселератора</w:t>
      </w:r>
      <w:r>
        <w:rPr>
          <w:rFonts w:ascii="Times New Roman" w:eastAsia="Times New Roman" w:hAnsi="Times New Roman" w:cs="Times New Roman"/>
          <w:highlight w:val="white"/>
        </w:rPr>
        <w:t xml:space="preserve"> – технологическая компания, финалист конкурсного отбора, которая подписала Согласие.</w:t>
      </w:r>
    </w:p>
    <w:p w14:paraId="0000001E"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Фонд</w:t>
      </w:r>
      <w:r>
        <w:rPr>
          <w:rFonts w:ascii="Times New Roman" w:eastAsia="Times New Roman" w:hAnsi="Times New Roman" w:cs="Times New Roman"/>
          <w:highlight w:val="white"/>
        </w:rPr>
        <w:t xml:space="preserve"> – Фонд развития интернет-инициатив.</w:t>
      </w:r>
    </w:p>
    <w:p w14:paraId="0000001F" w14:textId="77777777" w:rsidR="00741709" w:rsidRDefault="00F02470">
      <w:pPr>
        <w:spacing w:line="240" w:lineRule="auto"/>
        <w:jc w:val="both"/>
        <w:rPr>
          <w:rFonts w:ascii="Times New Roman" w:eastAsia="Times New Roman" w:hAnsi="Times New Roman" w:cs="Times New Roman"/>
        </w:rPr>
      </w:pPr>
      <w:r>
        <w:rPr>
          <w:rFonts w:ascii="Times New Roman" w:eastAsia="Times New Roman" w:hAnsi="Times New Roman" w:cs="Times New Roman"/>
          <w:b/>
          <w:highlight w:val="white"/>
        </w:rPr>
        <w:t>Эксперт акселерационной программы</w:t>
      </w:r>
      <w:r>
        <w:rPr>
          <w:rFonts w:ascii="Times New Roman" w:eastAsia="Times New Roman" w:hAnsi="Times New Roman" w:cs="Times New Roman"/>
          <w:highlight w:val="white"/>
        </w:rPr>
        <w:t xml:space="preserve"> (эксперт) – лицо, обладающее необходимой компетенцией, знаниями и опытом по направлениям мероприятий акселерационной программы, привлекаемое для проведения тематических встреч с участниками акселератора, а также для участия в других мероприятиях в рамках акселерационной программы.</w:t>
      </w:r>
    </w:p>
    <w:p w14:paraId="00000020" w14:textId="77777777" w:rsidR="00741709" w:rsidRDefault="00741709">
      <w:pPr>
        <w:spacing w:line="240" w:lineRule="auto"/>
        <w:jc w:val="both"/>
        <w:rPr>
          <w:rFonts w:ascii="Times New Roman" w:eastAsia="Times New Roman" w:hAnsi="Times New Roman" w:cs="Times New Roman"/>
          <w:highlight w:val="white"/>
        </w:rPr>
      </w:pPr>
    </w:p>
    <w:p w14:paraId="00000021" w14:textId="77777777" w:rsidR="00741709" w:rsidRDefault="00F02470">
      <w:pPr>
        <w:numPr>
          <w:ilvl w:val="0"/>
          <w:numId w:val="1"/>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Объем оказываемых услуг</w:t>
      </w:r>
    </w:p>
    <w:p w14:paraId="00000022" w14:textId="77777777" w:rsidR="00741709" w:rsidRDefault="00F02470">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В соответствии с приказом ФРИИ от 27.04.2022 № 11-01 «Об утверждении требований к акселерационным программам, реализуемым Фондом развития интернет-инициатив при осуществлении акселерации проектов по разработке российских решений в сфере информационных технологий в рамках реализации федерального проекта «Цифровые технологии» национальной программы «Цифровая экономика Российской Федерации» в новой редакции» (далее - Требования) в 2023 году в акселераторе Спринт предусмотрено проведение трех акселерационных программ по результатам конкурсных отборов: </w:t>
      </w:r>
    </w:p>
    <w:p w14:paraId="00000023" w14:textId="77777777" w:rsidR="00741709" w:rsidRDefault="00F02470">
      <w:pPr>
        <w:spacing w:line="240" w:lineRule="auto"/>
        <w:jc w:val="both"/>
        <w:rPr>
          <w:rFonts w:ascii="Times New Roman" w:eastAsia="Times New Roman" w:hAnsi="Times New Roman" w:cs="Times New Roman"/>
        </w:rPr>
      </w:pPr>
      <w:r>
        <w:rPr>
          <w:rFonts w:ascii="Times New Roman" w:eastAsia="Times New Roman" w:hAnsi="Times New Roman" w:cs="Times New Roman"/>
        </w:rPr>
        <w:t>Акселератор Спринт №6: 17 января 2023 г. - 27 апреля 2023 г.</w:t>
      </w:r>
    </w:p>
    <w:p w14:paraId="00000024" w14:textId="77777777" w:rsidR="00741709" w:rsidRDefault="00F02470">
      <w:pPr>
        <w:spacing w:line="240" w:lineRule="auto"/>
        <w:jc w:val="both"/>
        <w:rPr>
          <w:rFonts w:ascii="Times New Roman" w:eastAsia="Times New Roman" w:hAnsi="Times New Roman" w:cs="Times New Roman"/>
        </w:rPr>
      </w:pPr>
      <w:r>
        <w:rPr>
          <w:rFonts w:ascii="Times New Roman" w:eastAsia="Times New Roman" w:hAnsi="Times New Roman" w:cs="Times New Roman"/>
        </w:rPr>
        <w:t>Акселератор Спринт №7: 16 мая 2023 г. - 24 августа 2023 г.</w:t>
      </w:r>
    </w:p>
    <w:p w14:paraId="00000025" w14:textId="77777777" w:rsidR="00741709" w:rsidRDefault="00F02470">
      <w:pPr>
        <w:spacing w:line="240" w:lineRule="auto"/>
        <w:jc w:val="both"/>
        <w:rPr>
          <w:rFonts w:ascii="Times New Roman" w:eastAsia="Times New Roman" w:hAnsi="Times New Roman" w:cs="Times New Roman"/>
        </w:rPr>
      </w:pPr>
      <w:r>
        <w:rPr>
          <w:rFonts w:ascii="Times New Roman" w:eastAsia="Times New Roman" w:hAnsi="Times New Roman" w:cs="Times New Roman"/>
        </w:rPr>
        <w:t>Акселератор Спринт №8: 05 сентября 2023 г. - 14 декабря 2023 г.</w:t>
      </w:r>
    </w:p>
    <w:p w14:paraId="00000026" w14:textId="77777777" w:rsidR="00741709" w:rsidRDefault="00741709">
      <w:pPr>
        <w:spacing w:line="240" w:lineRule="auto"/>
        <w:jc w:val="both"/>
        <w:rPr>
          <w:rFonts w:ascii="Times New Roman" w:eastAsia="Times New Roman" w:hAnsi="Times New Roman" w:cs="Times New Roman"/>
        </w:rPr>
      </w:pPr>
    </w:p>
    <w:p w14:paraId="00000027" w14:textId="77777777" w:rsidR="00741709" w:rsidRDefault="00F02470">
      <w:pPr>
        <w:spacing w:line="240" w:lineRule="auto"/>
        <w:ind w:firstLine="700"/>
        <w:jc w:val="both"/>
        <w:rPr>
          <w:rFonts w:ascii="Times New Roman" w:eastAsia="Times New Roman" w:hAnsi="Times New Roman" w:cs="Times New Roman"/>
        </w:rPr>
      </w:pPr>
      <w:r>
        <w:rPr>
          <w:rFonts w:ascii="Times New Roman" w:eastAsia="Times New Roman" w:hAnsi="Times New Roman" w:cs="Times New Roman"/>
        </w:rPr>
        <w:t>Программа акселератора предусматривает следующие темы тематических встреч:</w:t>
      </w:r>
    </w:p>
    <w:p w14:paraId="00000028" w14:textId="77777777" w:rsidR="00741709" w:rsidRDefault="00F02470">
      <w:pPr>
        <w:spacing w:line="240" w:lineRule="auto"/>
        <w:ind w:firstLine="70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Организация процесса продаж;</w:t>
      </w:r>
    </w:p>
    <w:p w14:paraId="00000029" w14:textId="77777777" w:rsidR="00741709" w:rsidRDefault="00F02470">
      <w:pPr>
        <w:spacing w:line="240" w:lineRule="auto"/>
        <w:ind w:firstLine="70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Маркетинг продукта;</w:t>
      </w:r>
    </w:p>
    <w:p w14:paraId="0000002A" w14:textId="77777777" w:rsidR="00741709" w:rsidRDefault="00F02470">
      <w:pPr>
        <w:spacing w:line="240" w:lineRule="auto"/>
        <w:ind w:firstLine="70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Работа над созданием продукта;</w:t>
      </w:r>
    </w:p>
    <w:p w14:paraId="0000002B" w14:textId="77777777" w:rsidR="00741709" w:rsidRDefault="00F02470">
      <w:pPr>
        <w:spacing w:line="240" w:lineRule="auto"/>
        <w:ind w:firstLine="70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Оценка рынка и конкурентный анализ;</w:t>
      </w:r>
    </w:p>
    <w:p w14:paraId="0000002C" w14:textId="77777777" w:rsidR="00741709" w:rsidRDefault="00F02470">
      <w:pPr>
        <w:spacing w:line="240" w:lineRule="auto"/>
        <w:ind w:firstLine="70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Публичные выступления и презентация проекта;</w:t>
      </w:r>
    </w:p>
    <w:p w14:paraId="0000002D" w14:textId="77777777" w:rsidR="00741709" w:rsidRDefault="00F02470">
      <w:pPr>
        <w:spacing w:line="240" w:lineRule="auto"/>
        <w:ind w:firstLine="70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Управление командой;</w:t>
      </w:r>
    </w:p>
    <w:p w14:paraId="0000002E" w14:textId="77777777" w:rsidR="00741709" w:rsidRDefault="00F02470">
      <w:pPr>
        <w:spacing w:line="240" w:lineRule="auto"/>
        <w:ind w:firstLine="70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Иные темы по развитию проекта.</w:t>
      </w:r>
    </w:p>
    <w:p w14:paraId="0000002F" w14:textId="77777777" w:rsidR="00741709" w:rsidRDefault="00741709">
      <w:pPr>
        <w:spacing w:line="240" w:lineRule="auto"/>
        <w:jc w:val="both"/>
        <w:rPr>
          <w:rFonts w:ascii="Times New Roman" w:eastAsia="Times New Roman" w:hAnsi="Times New Roman" w:cs="Times New Roman"/>
        </w:rPr>
      </w:pPr>
    </w:p>
    <w:p w14:paraId="00000030" w14:textId="77777777" w:rsidR="00741709" w:rsidRDefault="00F02470">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Согласно Приложению 1 к Требованиям к акселерационной программе, тематические встречи с экспертами предусмотрены в количестве не менее 2-х часов на каждую технологическую компанию. Количество и продолжительность встреч также зависят от запросов команды и рекомендаций </w:t>
      </w:r>
      <w:proofErr w:type="spellStart"/>
      <w:r>
        <w:rPr>
          <w:rFonts w:ascii="Times New Roman" w:eastAsia="Times New Roman" w:hAnsi="Times New Roman" w:cs="Times New Roman"/>
        </w:rPr>
        <w:t>трекера</w:t>
      </w:r>
      <w:proofErr w:type="spellEnd"/>
      <w:r>
        <w:rPr>
          <w:rFonts w:ascii="Times New Roman" w:eastAsia="Times New Roman" w:hAnsi="Times New Roman" w:cs="Times New Roman"/>
        </w:rPr>
        <w:t>. В каждом акселераторе планируется участие 48 технологических компаний. Соответственно, необходимо обеспечить не менее 96 часов тематических встреч в одном акселераторе.</w:t>
      </w:r>
    </w:p>
    <w:p w14:paraId="00000031" w14:textId="77777777" w:rsidR="00741709" w:rsidRDefault="00F02470">
      <w:pPr>
        <w:spacing w:line="240" w:lineRule="auto"/>
        <w:jc w:val="both"/>
        <w:rPr>
          <w:rFonts w:ascii="Times New Roman" w:eastAsia="Times New Roman" w:hAnsi="Times New Roman" w:cs="Times New Roman"/>
        </w:rPr>
      </w:pPr>
      <w:r>
        <w:rPr>
          <w:rFonts w:ascii="Times New Roman" w:eastAsia="Times New Roman" w:hAnsi="Times New Roman" w:cs="Times New Roman"/>
        </w:rPr>
        <w:t>Максимальное количество часов для проведения тематических встреч технологических компаний с экспертами не ограничено, планируется 135 часов тематических встреч в одном акселераторе.</w:t>
      </w:r>
    </w:p>
    <w:p w14:paraId="00000032"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rPr>
        <w:t xml:space="preserve">Общее количество тематических встреч в 2023 году составит 135 часов х 3 программы акселератора Спринт = 405 часов. </w:t>
      </w:r>
      <w:r>
        <w:rPr>
          <w:rFonts w:ascii="Times New Roman" w:eastAsia="Times New Roman" w:hAnsi="Times New Roman" w:cs="Times New Roman"/>
          <w:highlight w:val="white"/>
        </w:rPr>
        <w:t>Количество, продолжительность и темы тематических встреч могут меняться в зависимости от потребностей Заказчика в пределах общей суммы договора.</w:t>
      </w:r>
    </w:p>
    <w:p w14:paraId="00000033" w14:textId="77777777" w:rsidR="00741709" w:rsidRDefault="00741709">
      <w:pPr>
        <w:spacing w:line="240" w:lineRule="auto"/>
        <w:jc w:val="both"/>
        <w:rPr>
          <w:rFonts w:ascii="Times New Roman" w:eastAsia="Times New Roman" w:hAnsi="Times New Roman" w:cs="Times New Roman"/>
          <w:highlight w:val="white"/>
        </w:rPr>
      </w:pPr>
    </w:p>
    <w:p w14:paraId="00000034" w14:textId="77777777" w:rsidR="00741709" w:rsidRDefault="00F02470">
      <w:pPr>
        <w:numPr>
          <w:ilvl w:val="0"/>
          <w:numId w:val="1"/>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Место оказания услуг</w:t>
      </w:r>
    </w:p>
    <w:p w14:paraId="00000035"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Место оказания услуг по проведению тематических встреч зависит от формата планируемого мероприятия. Программа акселератора предусматривает как заочный (онлайн), так и очный (оффлайн) форматы проведения мероприятий, а также смешанный (гибридный очно-заочный) формат. Проведение очных (оффлайн) и смешанных (гибридных очно-заочных) мероприятий осуществляется по адресу: Москва, ул. Мясницкая, дом 18, стр. 13.</w:t>
      </w:r>
      <w:r>
        <w:rPr>
          <w:rFonts w:ascii="Times New Roman" w:eastAsia="Times New Roman" w:hAnsi="Times New Roman" w:cs="Times New Roman"/>
          <w:highlight w:val="white"/>
        </w:rPr>
        <w:br/>
      </w:r>
    </w:p>
    <w:p w14:paraId="00000036" w14:textId="77777777" w:rsidR="00741709" w:rsidRDefault="00F02470">
      <w:pPr>
        <w:numPr>
          <w:ilvl w:val="0"/>
          <w:numId w:val="1"/>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Место предоставления результатов услуг</w:t>
      </w:r>
    </w:p>
    <w:p w14:paraId="00000037"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Российская Федерация, 101000, г. Москва, ул. Мясницкая, д. 13 стр. 18.</w:t>
      </w:r>
    </w:p>
    <w:p w14:paraId="00000038" w14:textId="77777777" w:rsidR="00741709" w:rsidRDefault="00741709">
      <w:pPr>
        <w:spacing w:line="240" w:lineRule="auto"/>
        <w:jc w:val="both"/>
        <w:rPr>
          <w:rFonts w:ascii="Times New Roman" w:eastAsia="Times New Roman" w:hAnsi="Times New Roman" w:cs="Times New Roman"/>
          <w:highlight w:val="white"/>
        </w:rPr>
      </w:pPr>
    </w:p>
    <w:p w14:paraId="00000039" w14:textId="77777777" w:rsidR="00741709" w:rsidRDefault="00F02470">
      <w:pPr>
        <w:numPr>
          <w:ilvl w:val="0"/>
          <w:numId w:val="1"/>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Срок оказания услуг</w:t>
      </w:r>
    </w:p>
    <w:p w14:paraId="0000003A"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Услуги оказываются поэтапно, в рамках сроков реализации акселерационных программ в 2023 году, а именно:</w:t>
      </w:r>
    </w:p>
    <w:p w14:paraId="0000003B" w14:textId="77777777" w:rsidR="00741709" w:rsidRDefault="00F02470">
      <w:pPr>
        <w:numPr>
          <w:ilvl w:val="0"/>
          <w:numId w:val="4"/>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Первый этап (</w:t>
      </w:r>
      <w:r>
        <w:rPr>
          <w:rFonts w:ascii="Times New Roman" w:eastAsia="Times New Roman" w:hAnsi="Times New Roman" w:cs="Times New Roman"/>
        </w:rPr>
        <w:t>Акселератор Спринт №</w:t>
      </w:r>
      <w:r>
        <w:rPr>
          <w:rFonts w:ascii="Times New Roman" w:eastAsia="Times New Roman" w:hAnsi="Times New Roman" w:cs="Times New Roman"/>
          <w:highlight w:val="white"/>
        </w:rPr>
        <w:t>6): 17.01.2023 - 19.03.2023</w:t>
      </w:r>
    </w:p>
    <w:p w14:paraId="0000003C" w14:textId="77777777" w:rsidR="00741709" w:rsidRDefault="00F02470">
      <w:pPr>
        <w:numPr>
          <w:ilvl w:val="0"/>
          <w:numId w:val="4"/>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Второй этап (</w:t>
      </w:r>
      <w:r>
        <w:rPr>
          <w:rFonts w:ascii="Times New Roman" w:eastAsia="Times New Roman" w:hAnsi="Times New Roman" w:cs="Times New Roman"/>
        </w:rPr>
        <w:t>Акселератор Спринт №6</w:t>
      </w:r>
      <w:r>
        <w:rPr>
          <w:rFonts w:ascii="Times New Roman" w:eastAsia="Times New Roman" w:hAnsi="Times New Roman" w:cs="Times New Roman"/>
          <w:highlight w:val="white"/>
        </w:rPr>
        <w:t>): 20.03.2023 - 27.04.2023</w:t>
      </w:r>
    </w:p>
    <w:p w14:paraId="0000003D" w14:textId="77777777" w:rsidR="00741709" w:rsidRDefault="00F02470">
      <w:pPr>
        <w:numPr>
          <w:ilvl w:val="0"/>
          <w:numId w:val="4"/>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Третий этап (</w:t>
      </w:r>
      <w:r>
        <w:rPr>
          <w:rFonts w:ascii="Times New Roman" w:eastAsia="Times New Roman" w:hAnsi="Times New Roman" w:cs="Times New Roman"/>
        </w:rPr>
        <w:t>Акселератор Спринт №</w:t>
      </w:r>
      <w:r>
        <w:rPr>
          <w:rFonts w:ascii="Times New Roman" w:eastAsia="Times New Roman" w:hAnsi="Times New Roman" w:cs="Times New Roman"/>
          <w:highlight w:val="white"/>
        </w:rPr>
        <w:t>7): 16.05.2023 - 09.07.2023</w:t>
      </w:r>
    </w:p>
    <w:p w14:paraId="0000003E" w14:textId="77777777" w:rsidR="00741709" w:rsidRDefault="00F02470">
      <w:pPr>
        <w:numPr>
          <w:ilvl w:val="0"/>
          <w:numId w:val="4"/>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Четвертый этап (</w:t>
      </w:r>
      <w:r>
        <w:rPr>
          <w:rFonts w:ascii="Times New Roman" w:eastAsia="Times New Roman" w:hAnsi="Times New Roman" w:cs="Times New Roman"/>
        </w:rPr>
        <w:t>Акселератор Спринт №</w:t>
      </w:r>
      <w:r>
        <w:rPr>
          <w:rFonts w:ascii="Times New Roman" w:eastAsia="Times New Roman" w:hAnsi="Times New Roman" w:cs="Times New Roman"/>
          <w:highlight w:val="white"/>
        </w:rPr>
        <w:t>7): 10.07.2023 - 24.08.2023</w:t>
      </w:r>
    </w:p>
    <w:p w14:paraId="0000003F" w14:textId="77777777" w:rsidR="00741709" w:rsidRDefault="00F02470">
      <w:pPr>
        <w:numPr>
          <w:ilvl w:val="0"/>
          <w:numId w:val="4"/>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Пятый этап (</w:t>
      </w:r>
      <w:r>
        <w:rPr>
          <w:rFonts w:ascii="Times New Roman" w:eastAsia="Times New Roman" w:hAnsi="Times New Roman" w:cs="Times New Roman"/>
        </w:rPr>
        <w:t>Акселератор Спринт №</w:t>
      </w:r>
      <w:r>
        <w:rPr>
          <w:rFonts w:ascii="Times New Roman" w:eastAsia="Times New Roman" w:hAnsi="Times New Roman" w:cs="Times New Roman"/>
          <w:highlight w:val="white"/>
        </w:rPr>
        <w:t>8): 05.09.2023 - 29.10.2023</w:t>
      </w:r>
    </w:p>
    <w:p w14:paraId="00000040" w14:textId="77777777" w:rsidR="00741709" w:rsidRDefault="00F02470">
      <w:pPr>
        <w:numPr>
          <w:ilvl w:val="0"/>
          <w:numId w:val="4"/>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Шестой этап (</w:t>
      </w:r>
      <w:r>
        <w:rPr>
          <w:rFonts w:ascii="Times New Roman" w:eastAsia="Times New Roman" w:hAnsi="Times New Roman" w:cs="Times New Roman"/>
        </w:rPr>
        <w:t>Акселератор Спринт №</w:t>
      </w:r>
      <w:r>
        <w:rPr>
          <w:rFonts w:ascii="Times New Roman" w:eastAsia="Times New Roman" w:hAnsi="Times New Roman" w:cs="Times New Roman"/>
          <w:highlight w:val="white"/>
        </w:rPr>
        <w:t>8): 30.10.2023 - 10.12.2023</w:t>
      </w:r>
    </w:p>
    <w:p w14:paraId="00000041"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Срок на подготовку и предоставление отчетной документации (отчет, акт) входит в период оказания услуг каждого этапа, отчет и акт должны быть предоставлены Заказчику не позднее даты завершения услуг по этапу. </w:t>
      </w:r>
    </w:p>
    <w:p w14:paraId="00000042"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Приемка оказанных услуг Заказчиком проводится в срок не более 10 рабочих дней с момента получения отчетной документации.</w:t>
      </w:r>
    </w:p>
    <w:p w14:paraId="00000043" w14:textId="77777777" w:rsidR="00741709" w:rsidRDefault="00741709">
      <w:pPr>
        <w:spacing w:line="240" w:lineRule="auto"/>
        <w:jc w:val="both"/>
        <w:rPr>
          <w:rFonts w:ascii="Times New Roman" w:eastAsia="Times New Roman" w:hAnsi="Times New Roman" w:cs="Times New Roman"/>
          <w:highlight w:val="white"/>
        </w:rPr>
      </w:pPr>
    </w:p>
    <w:p w14:paraId="00000044" w14:textId="77777777" w:rsidR="00741709" w:rsidRDefault="00F02470">
      <w:pPr>
        <w:numPr>
          <w:ilvl w:val="0"/>
          <w:numId w:val="1"/>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Привлечение соисполнителей</w:t>
      </w:r>
    </w:p>
    <w:p w14:paraId="00000045"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Исполнитель обеспечивает оказание услуг по проведению тематических встреч путем привлечения экспертов, соответствующих установленным Техническим заданием требованиям. Исполнитель вправе по согласованию с Заказчиком привлечь к исполнению настоящего Договора третьих лиц. В случае привлечения третьих лиц Исполнитель несет перед Заказчиком ответственность за последствия неисполнения или ненадлежащего исполнения обязательств третьими лицами.</w:t>
      </w:r>
    </w:p>
    <w:p w14:paraId="00000046"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Привлечение соисполнителей не влечет увеличение стоимости услуг по проведению тематических встреч.</w:t>
      </w:r>
    </w:p>
    <w:p w14:paraId="00000047"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В случае привлечения соисполнителей Исполнитель гарантирует урегулирование своими силами и за свой счет любых вопросов выплаты вознаграждения третьим лицам, в том числе контрагентам (соисполнителям) Исполнителя, физическим лицам (авторам результатов интеллектуальной деятельности), связанных с выполнением Договора (проведением тематических встреч), включая:</w:t>
      </w:r>
    </w:p>
    <w:p w14:paraId="00000048" w14:textId="77777777" w:rsidR="00741709" w:rsidRDefault="00F02470">
      <w:pPr>
        <w:numPr>
          <w:ilvl w:val="0"/>
          <w:numId w:val="2"/>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авторское вознаграждение работникам Исполнителя, привлеченным к выполнению Договора по служебному заданию или в рамках выполнения трудовых обязанностей;</w:t>
      </w:r>
    </w:p>
    <w:p w14:paraId="00000049" w14:textId="77777777" w:rsidR="00741709" w:rsidRDefault="00F02470">
      <w:pPr>
        <w:numPr>
          <w:ilvl w:val="0"/>
          <w:numId w:val="2"/>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вознаграждение третьим лицам, привлеченным к исполнению Договора в рамках гражданско-правовых договоров, в том числе за участие в оказании услуг по Договору, передачу прав на РИД.</w:t>
      </w:r>
    </w:p>
    <w:p w14:paraId="0000004A" w14:textId="77777777" w:rsidR="00741709" w:rsidRDefault="00741709">
      <w:pPr>
        <w:spacing w:line="240" w:lineRule="auto"/>
        <w:jc w:val="both"/>
        <w:rPr>
          <w:rFonts w:ascii="Times New Roman" w:eastAsia="Times New Roman" w:hAnsi="Times New Roman" w:cs="Times New Roman"/>
          <w:highlight w:val="white"/>
        </w:rPr>
      </w:pPr>
    </w:p>
    <w:p w14:paraId="0000004B" w14:textId="77777777" w:rsidR="00741709" w:rsidRDefault="00F02470">
      <w:pPr>
        <w:numPr>
          <w:ilvl w:val="0"/>
          <w:numId w:val="1"/>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Краткая характеристика целей и порядка проведения акселерационной программы</w:t>
      </w:r>
    </w:p>
    <w:p w14:paraId="0000004C"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Федеральным проектом «Цифровые технологии» национальной программы «Цифровая экономика Российской Федерации» в качестве результата проекта предусмотрено, в том числе создание условий для развития стартапов, разрабатывающих решения в сфере информационных технологий.</w:t>
      </w:r>
    </w:p>
    <w:p w14:paraId="0000004D"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В рамках реализации указанного проекта предусмотрено осуществление Фондом развития интернет-инициатив (далее – Фонд) акселерации проектов по разработке российских решений в сфере информационных технологий.</w:t>
      </w:r>
    </w:p>
    <w:p w14:paraId="0000004E"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В соответствии с Постановлением Правительства Российской Федерации от 24 декабря 2020 г. №2254 «Об утверждении Правил предоставления субсидии из федерального бюджета Фонду развития интернет-инициатив на осуществление акселерации проектов по разработке российских решений в сфере информационных технологий» (далее – Правила) и Соглашением о предоставлении из федерального бюджета субсидии некоммерческой организации, не являющейся государственным (муниципальным) учреждением от 09.02.2021 №071-10-2021-005 (далее – Соглашение, идентификатор соглашения о предоставлении субсидии №000000D507121P0B0002) Фонду из федерального бюджета выделяется субсидия на акселерацию проектов по разработке российских решений в сфере информационных технологий.</w:t>
      </w:r>
    </w:p>
    <w:p w14:paraId="0000004F"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Участие технологической компании в акселерационной программе осуществляется по результатам конкурсного отбора, проводимого Фондом.</w:t>
      </w:r>
    </w:p>
    <w:p w14:paraId="00000050"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На основании решения конкурсной комиссии об определении финалистов конкурсного отбора и полученных Согласий финалистов конкурсного отбора приказом Фонда утверждается список технологических компаний, проекты которых включаются в акселерационную программу Фонда для прохождения программы акселератора.</w:t>
      </w:r>
    </w:p>
    <w:p w14:paraId="00000051"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Продолжительность акселерационной программы составляет не менее 60 и не более 100 календарных дней. Количество акселерационных программ, количество участников акселератора, в том числе количество членов команды проекта от одной технологической компании устанавливается Фондом.</w:t>
      </w:r>
    </w:p>
    <w:p w14:paraId="00000052"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Тематические встречи с экспертами в том числе могут проводиться в форме экспертной сессии, консультации для нескольких команд одновременно, письменных рекомендаций. Форма и темы определяются Заказчиком для каждого акселератора с учетом динамики развития, подготовленности участников акселератора и на основании запросов от участников и рекомендаций </w:t>
      </w:r>
      <w:proofErr w:type="spellStart"/>
      <w:r>
        <w:rPr>
          <w:rFonts w:ascii="Times New Roman" w:eastAsia="Times New Roman" w:hAnsi="Times New Roman" w:cs="Times New Roman"/>
          <w:highlight w:val="white"/>
        </w:rPr>
        <w:t>трекеров</w:t>
      </w:r>
      <w:proofErr w:type="spellEnd"/>
      <w:r>
        <w:rPr>
          <w:rFonts w:ascii="Times New Roman" w:eastAsia="Times New Roman" w:hAnsi="Times New Roman" w:cs="Times New Roman"/>
          <w:highlight w:val="white"/>
        </w:rPr>
        <w:t>.</w:t>
      </w:r>
    </w:p>
    <w:p w14:paraId="00000053" w14:textId="77777777" w:rsidR="00741709" w:rsidRDefault="00741709">
      <w:pPr>
        <w:pBdr>
          <w:top w:val="nil"/>
          <w:left w:val="nil"/>
          <w:bottom w:val="nil"/>
          <w:right w:val="nil"/>
          <w:between w:val="nil"/>
        </w:pBdr>
        <w:spacing w:line="240" w:lineRule="auto"/>
        <w:jc w:val="both"/>
        <w:rPr>
          <w:rFonts w:ascii="Times New Roman" w:eastAsia="Times New Roman" w:hAnsi="Times New Roman" w:cs="Times New Roman"/>
          <w:highlight w:val="white"/>
        </w:rPr>
      </w:pPr>
    </w:p>
    <w:p w14:paraId="00000054" w14:textId="77777777" w:rsidR="00741709" w:rsidRDefault="00F02470">
      <w:pPr>
        <w:numPr>
          <w:ilvl w:val="0"/>
          <w:numId w:val="1"/>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Порядок оказания услуг</w:t>
      </w:r>
    </w:p>
    <w:p w14:paraId="00000055"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11.1. </w:t>
      </w:r>
      <w:r>
        <w:rPr>
          <w:rFonts w:ascii="Times New Roman" w:eastAsia="Times New Roman" w:hAnsi="Times New Roman" w:cs="Times New Roman"/>
        </w:rPr>
        <w:t xml:space="preserve">Тематические встречи технологических компаний с экспертами проходят параллельно с групповыми занятиями и по темам, включенным в список тем групповых занятий. На тематических встречах эксперт не оказывает аутсорсинговые услуги, например, такие как создание рекламной кампании, презентации, наполнение сайта проекта, поиск и найм сотрудников и прочее, </w:t>
      </w:r>
      <w:proofErr w:type="gramStart"/>
      <w:r>
        <w:rPr>
          <w:rFonts w:ascii="Times New Roman" w:eastAsia="Times New Roman" w:hAnsi="Times New Roman" w:cs="Times New Roman"/>
        </w:rPr>
        <w:t>т.е.</w:t>
      </w:r>
      <w:proofErr w:type="gramEnd"/>
      <w:r>
        <w:rPr>
          <w:rFonts w:ascii="Times New Roman" w:eastAsia="Times New Roman" w:hAnsi="Times New Roman" w:cs="Times New Roman"/>
        </w:rPr>
        <w:t xml:space="preserve"> не реализовывает задачи за или вместо команды технологической компании; эксперт дает практические рекомендации по теме запроса на тематическую встречу и/или комментарии по подготовленным участником акселератора материалам к встрече.</w:t>
      </w:r>
    </w:p>
    <w:p w14:paraId="00000056"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11.2. Исполнитель, а также эксперты, обязаны соблюдать конфиденциальность информации, составляющей коммерческую тайну Заказчика и технологических компаний, участвующих в акселерационных программах. За несоблюдение конфиденциальности коммерческой информации Заказчика Исполнитель несет ответственность в соответствии с законодательством Российской Федерации.</w:t>
      </w:r>
    </w:p>
    <w:p w14:paraId="00000057"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11.3. Исполнитель, а также эксперты, не могут без предварительного письменного согласия Заказчика разглашать третьим лицам и/или опубликовывать и/или допускать опубликование информации, которая была предоставлена Заказчиком и/или технологическими компаниями, участвующими в акселерационных программах, либо стала известна Исполнителю или экспертам в рамках акселерационных программ, либо была правомерно создана в силу исполнения обязательств по настоящему Техническому заданию. </w:t>
      </w:r>
    </w:p>
    <w:p w14:paraId="00000058"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Под информацией понимается информация о Заказчике и/или технологических компаниях, участвующих в акселерационных программах, об отношениях сторон в ходе выполнения обязательств, а также информация о состоянии финансово-хозяйственной деятельности или имущества любой из сторон.</w:t>
      </w:r>
    </w:p>
    <w:p w14:paraId="00000059" w14:textId="77777777" w:rsidR="00741709" w:rsidRDefault="00F02470">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11.4. Исполнитель, а также эксперты, преимущественно осуществляет оказание услуг с использованием функционального модуля "Запросы на индивидуальные консультации" Системы EDU. Заказчик обязан предоставить Исполнителю доступ к Системе EDU до начала оказания услуг.</w:t>
      </w:r>
    </w:p>
    <w:p w14:paraId="0000005A"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11.5. Исполнитель должен обеспечить:</w:t>
      </w:r>
    </w:p>
    <w:p w14:paraId="0000005B"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подготовительную работу с экспертом перед проведением тематических встреч (согласование тем и/или вопросов, по которым эксперт обладает требуемой квалификацией, места, времени, продолжительности и формы встречи, состав отчетности);</w:t>
      </w:r>
    </w:p>
    <w:p w14:paraId="0000005C" w14:textId="77777777" w:rsidR="00741709" w:rsidRDefault="00F02470">
      <w:pPr>
        <w:spacing w:line="240" w:lineRule="auto"/>
        <w:jc w:val="both"/>
        <w:rPr>
          <w:rFonts w:ascii="Times New Roman" w:eastAsia="Times New Roman" w:hAnsi="Times New Roman" w:cs="Times New Roman"/>
          <w:highlight w:val="yellow"/>
        </w:rPr>
      </w:pPr>
      <w:r>
        <w:rPr>
          <w:rFonts w:ascii="Times New Roman" w:eastAsia="Times New Roman" w:hAnsi="Times New Roman" w:cs="Times New Roman"/>
        </w:rPr>
        <w:t>- организацию работы экспертов с использованием Системы EDU;</w:t>
      </w:r>
    </w:p>
    <w:p w14:paraId="0000005D"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возможность взаимодействия Заказчика с экспертами для распределения запросов и согласования даты и времени каждой тематической встречи в случае необходимости;</w:t>
      </w:r>
    </w:p>
    <w:p w14:paraId="0000005E"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проведение тематической встречи технологической компании с экспертом в согласованные с Заказчиком месте, сроке и объеме;</w:t>
      </w:r>
    </w:p>
    <w:p w14:paraId="0000005F"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подготовку и передачу Заказчику отчетности по каждой тематической встрече и по каждому этапу оказания услуг.</w:t>
      </w:r>
    </w:p>
    <w:p w14:paraId="00000060" w14:textId="77777777" w:rsidR="00741709" w:rsidRDefault="00F02470">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11.6. В случае неявки команды на встречу эксперт формирует рекомендации для команды участника акселератора в письменном виде на основании запроса на тематическую встречу, отчетов </w:t>
      </w:r>
      <w:proofErr w:type="spellStart"/>
      <w:r>
        <w:rPr>
          <w:rFonts w:ascii="Times New Roman" w:eastAsia="Times New Roman" w:hAnsi="Times New Roman" w:cs="Times New Roman"/>
        </w:rPr>
        <w:t>трекеров</w:t>
      </w:r>
      <w:proofErr w:type="spellEnd"/>
      <w:r>
        <w:rPr>
          <w:rFonts w:ascii="Times New Roman" w:eastAsia="Times New Roman" w:hAnsi="Times New Roman" w:cs="Times New Roman"/>
        </w:rPr>
        <w:t xml:space="preserve"> и информации о команде, предоставленной в Системе EDU. В случае непредоставления письменной консультации Заказчик вправе не учитывать данную тематическую встречу в отчетном периоде и не производить оплату за нее.</w:t>
      </w:r>
    </w:p>
    <w:p w14:paraId="00000061"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rPr>
        <w:t xml:space="preserve">11.7. </w:t>
      </w:r>
      <w:r>
        <w:rPr>
          <w:rFonts w:ascii="Times New Roman" w:eastAsia="Times New Roman" w:hAnsi="Times New Roman" w:cs="Times New Roman"/>
          <w:highlight w:val="white"/>
        </w:rPr>
        <w:t xml:space="preserve">Заказчик осуществляет оплату фактически оказанных услуг по соответствующему этапу оказания услуг (отчетному периоду), исходя из количества часов работы экспертов в отчетном периоде. Авансирование не предусмотрено. </w:t>
      </w:r>
    </w:p>
    <w:p w14:paraId="00000062"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Оплата услуг производится в течение 20 (Двадцати) рабочих дней с момента подписания Сторонами Акта сдачи-приемки оказанных услуг по каждому этапу при условии предоставления Заказчику отчётной документации (Отчёта и Акта сдачи-приемки услуг), на основании выставленного Исполнителем счета. Счет может быть выставлен Исполнителем только после подписания сторонами Акта сдачи-приемки оказанных услуг.</w:t>
      </w:r>
    </w:p>
    <w:p w14:paraId="00000063"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11.8. Общая стоимость услуг определяется на основе стоимости одного часа работы эксперта по проведению тематических встреч.</w:t>
      </w:r>
    </w:p>
    <w:p w14:paraId="00000064" w14:textId="77777777" w:rsidR="00741709" w:rsidRDefault="00741709">
      <w:pPr>
        <w:spacing w:line="240" w:lineRule="auto"/>
        <w:jc w:val="both"/>
        <w:rPr>
          <w:rFonts w:ascii="Times New Roman" w:eastAsia="Times New Roman" w:hAnsi="Times New Roman" w:cs="Times New Roman"/>
        </w:rPr>
      </w:pPr>
    </w:p>
    <w:p w14:paraId="00000065" w14:textId="77777777" w:rsidR="00741709" w:rsidRDefault="00F02470">
      <w:p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12. Формирование перечня экспертов</w:t>
      </w:r>
    </w:p>
    <w:p w14:paraId="00000066" w14:textId="77777777" w:rsidR="00741709" w:rsidRDefault="00F02470">
      <w:pPr>
        <w:spacing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Перечень экспертов формируется из числа лиц, заявленных на участие в закупке Исполнителем. </w:t>
      </w:r>
      <w:r>
        <w:rPr>
          <w:rFonts w:ascii="Times New Roman" w:eastAsia="Times New Roman" w:hAnsi="Times New Roman" w:cs="Times New Roman"/>
        </w:rPr>
        <w:t xml:space="preserve">В рамках оказания услуг Исполнитель может изменять перечень экспертов с соответствующим подтвержденным опытом. </w:t>
      </w:r>
      <w:r>
        <w:rPr>
          <w:rFonts w:ascii="Times New Roman" w:eastAsia="Times New Roman" w:hAnsi="Times New Roman" w:cs="Times New Roman"/>
          <w:color w:val="000000"/>
        </w:rPr>
        <w:t>В случае, если на момент окончания соответствующего этапа перечень экспертов включает лиц, не заявленных на участие в закупке, Исполнитель в рамках отчета представляет на указанных экспертов копии документов, подтверждающие соответствие требованиям, установленным разделом 13 данного ТЗ. Если эксперт не соответствует требованиям, установленным разделом 13 данного ТЗ, то Заказчик имеет право не оплачивать тематические встречи, проведенные с привлечением данного эксперта.</w:t>
      </w:r>
    </w:p>
    <w:p w14:paraId="00000067" w14:textId="77777777" w:rsidR="00741709" w:rsidRDefault="00741709">
      <w:pPr>
        <w:spacing w:line="240" w:lineRule="auto"/>
        <w:jc w:val="both"/>
        <w:rPr>
          <w:rFonts w:ascii="Times New Roman" w:eastAsia="Times New Roman" w:hAnsi="Times New Roman" w:cs="Times New Roman"/>
          <w:strike/>
        </w:rPr>
      </w:pPr>
    </w:p>
    <w:p w14:paraId="00000068" w14:textId="77777777" w:rsidR="00741709" w:rsidRDefault="00F02470">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Расписание тематических встреч по каждому эксперту формируется Заказчиком по мере поступления запросов от участников акселератора или рекомендаций </w:t>
      </w:r>
      <w:proofErr w:type="spellStart"/>
      <w:r>
        <w:rPr>
          <w:rFonts w:ascii="Times New Roman" w:eastAsia="Times New Roman" w:hAnsi="Times New Roman" w:cs="Times New Roman"/>
        </w:rPr>
        <w:t>трекеров</w:t>
      </w:r>
      <w:proofErr w:type="spellEnd"/>
      <w:r>
        <w:rPr>
          <w:rFonts w:ascii="Times New Roman" w:eastAsia="Times New Roman" w:hAnsi="Times New Roman" w:cs="Times New Roman"/>
        </w:rPr>
        <w:t xml:space="preserve"> на основании предоставленных экспертами интервалов времени, доступных для записи командами, в Системе EDU и выбора интервала командами участниками акселератора. Дата и время проведения встречи с экспертом определяется не менее чем за 1 календарный день до планируемой даты проведения тематической встречи с помощью Системы EDU.</w:t>
      </w:r>
    </w:p>
    <w:p w14:paraId="00000069" w14:textId="77777777" w:rsidR="00741709" w:rsidRDefault="00741709">
      <w:pPr>
        <w:spacing w:line="240" w:lineRule="auto"/>
        <w:jc w:val="both"/>
        <w:rPr>
          <w:rFonts w:ascii="Times New Roman" w:eastAsia="Times New Roman" w:hAnsi="Times New Roman" w:cs="Times New Roman"/>
          <w:highlight w:val="white"/>
        </w:rPr>
      </w:pPr>
    </w:p>
    <w:p w14:paraId="0000006A"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Фактом проведения тематической встречи считается предоставленный Исполнителем скриншот экрана компьютера/ноутбука/планшета в случае заочного (онлайн) формата; фотографии и/или видеозаписи тематической встречи для очного (оффлайн) формата проведения; фотографии и/или скриншот экрана компьютера/ноутбука/планшета для смешанного (гибридный очно-заочный) формата.</w:t>
      </w:r>
    </w:p>
    <w:p w14:paraId="0000006B" w14:textId="77777777" w:rsidR="00741709" w:rsidRDefault="00741709">
      <w:pPr>
        <w:spacing w:line="240" w:lineRule="auto"/>
        <w:jc w:val="both"/>
        <w:rPr>
          <w:rFonts w:ascii="Times New Roman" w:eastAsia="Times New Roman" w:hAnsi="Times New Roman" w:cs="Times New Roman"/>
          <w:highlight w:val="white"/>
        </w:rPr>
      </w:pPr>
    </w:p>
    <w:p w14:paraId="0000006C"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Обмен информацией между Заказчиком и Исполнителем в рамках реализации услуг осуществляется по электронной почте контактных лиц по договору.</w:t>
      </w:r>
    </w:p>
    <w:p w14:paraId="0000006D" w14:textId="77777777" w:rsidR="00741709" w:rsidRDefault="00741709">
      <w:pPr>
        <w:spacing w:line="240" w:lineRule="auto"/>
        <w:jc w:val="both"/>
        <w:rPr>
          <w:rFonts w:ascii="Times New Roman" w:eastAsia="Times New Roman" w:hAnsi="Times New Roman" w:cs="Times New Roman"/>
          <w:highlight w:val="white"/>
        </w:rPr>
      </w:pPr>
    </w:p>
    <w:p w14:paraId="0000006E"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13. Требования к экспертам</w:t>
      </w:r>
    </w:p>
    <w:p w14:paraId="0000006F"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Экспертами могут быть лица, состоящие в договорных отношениях или в штате Исполнителя, и соответствующие следующим обязательным критериям:</w:t>
      </w:r>
    </w:p>
    <w:p w14:paraId="00000070" w14:textId="77777777" w:rsidR="00741709" w:rsidRDefault="00F02470">
      <w:pPr>
        <w:numPr>
          <w:ilvl w:val="0"/>
          <w:numId w:val="5"/>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наличие высшего образования;</w:t>
      </w:r>
    </w:p>
    <w:p w14:paraId="00000071" w14:textId="77777777" w:rsidR="00741709" w:rsidRDefault="00F02470">
      <w:pPr>
        <w:numPr>
          <w:ilvl w:val="0"/>
          <w:numId w:val="5"/>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опыт работы в качестве консультанта/подрядчика/сотрудника на руководящей позиции/ и/или наличие предпринимательского опыта не менее 2-х лет.</w:t>
      </w:r>
    </w:p>
    <w:p w14:paraId="00000072"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Исполнитель обязан предоставить Заказчику резюме каждого эксперта, включающее ФИО эксперта, его фото, информацию об образовании и опыте работы.</w:t>
      </w:r>
    </w:p>
    <w:p w14:paraId="00000073" w14:textId="77777777" w:rsidR="00741709" w:rsidRDefault="00741709">
      <w:pPr>
        <w:pBdr>
          <w:top w:val="nil"/>
          <w:left w:val="nil"/>
          <w:bottom w:val="nil"/>
          <w:right w:val="nil"/>
          <w:between w:val="nil"/>
        </w:pBdr>
        <w:spacing w:line="240" w:lineRule="auto"/>
        <w:ind w:left="720"/>
        <w:jc w:val="both"/>
        <w:rPr>
          <w:rFonts w:ascii="Times New Roman" w:eastAsia="Times New Roman" w:hAnsi="Times New Roman" w:cs="Times New Roman"/>
          <w:highlight w:val="white"/>
        </w:rPr>
      </w:pPr>
    </w:p>
    <w:p w14:paraId="00000074"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14. Формирование отчета по результатам оказания услуг по каждому этапу</w:t>
      </w:r>
    </w:p>
    <w:p w14:paraId="00000075"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Срок на подготовку и предоставление отчетной документации (отчет, акт) входит в период оказания услуг каждого этапа, отчет и акт должны быть предоставлены Заказчику не позднее даты завершения услуг по этапу. </w:t>
      </w:r>
    </w:p>
    <w:p w14:paraId="00000076"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Отчет по результатам оказания услуг предоставляется:</w:t>
      </w:r>
    </w:p>
    <w:p w14:paraId="00000077"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на бумажном носителе, который должен быть сшит и заверен печатью (при наличии печати) и подписью руководителя Исполнителя;</w:t>
      </w:r>
    </w:p>
    <w:p w14:paraId="00000078"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в электронном формате Microsoft Word на </w:t>
      </w:r>
      <w:proofErr w:type="spellStart"/>
      <w:r>
        <w:rPr>
          <w:rFonts w:ascii="Times New Roman" w:eastAsia="Times New Roman" w:hAnsi="Times New Roman" w:cs="Times New Roman"/>
          <w:highlight w:val="white"/>
        </w:rPr>
        <w:t>флеш</w:t>
      </w:r>
      <w:proofErr w:type="spellEnd"/>
      <w:r>
        <w:rPr>
          <w:rFonts w:ascii="Times New Roman" w:eastAsia="Times New Roman" w:hAnsi="Times New Roman" w:cs="Times New Roman"/>
          <w:highlight w:val="white"/>
        </w:rPr>
        <w:t>-носителе или выложенном по предоставленной Заказчиком публичной ссылке на корпоративном облаке.</w:t>
      </w:r>
    </w:p>
    <w:p w14:paraId="00000079" w14:textId="77777777" w:rsidR="00741709" w:rsidRDefault="00F0247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Отчет должен содержать, в том числе и следующую информацию:</w:t>
      </w:r>
    </w:p>
    <w:p w14:paraId="0000007A" w14:textId="77777777" w:rsidR="00741709" w:rsidRDefault="00F02470">
      <w:pPr>
        <w:numPr>
          <w:ilvl w:val="0"/>
          <w:numId w:val="3"/>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содержание отчета;</w:t>
      </w:r>
    </w:p>
    <w:p w14:paraId="0000007B" w14:textId="77777777" w:rsidR="00741709" w:rsidRDefault="00F02470">
      <w:pPr>
        <w:numPr>
          <w:ilvl w:val="0"/>
          <w:numId w:val="3"/>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основная часть отчета должна отражать деятельность Исполнителя по оказанию услуг, предусмотренных договором, и соответствие количественных и качественных параметров результатов их выполнения требованиям, а именно:</w:t>
      </w:r>
    </w:p>
    <w:p w14:paraId="0000007C" w14:textId="77777777" w:rsidR="00741709" w:rsidRDefault="00F02470">
      <w:pPr>
        <w:numPr>
          <w:ilvl w:val="1"/>
          <w:numId w:val="3"/>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реестр проведенных тематических встреч с указанием номера заявки и названия проекта, темы, ФИО эксперта и даты проведения встречи;</w:t>
      </w:r>
    </w:p>
    <w:p w14:paraId="0000007D" w14:textId="77777777" w:rsidR="00741709" w:rsidRDefault="00F02470">
      <w:pPr>
        <w:numPr>
          <w:ilvl w:val="1"/>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перечень привлеченных экспертов для проведения тематических встреч в рамках этапа;</w:t>
      </w:r>
    </w:p>
    <w:p w14:paraId="0000007E" w14:textId="77777777" w:rsidR="00741709" w:rsidRDefault="00F02470">
      <w:pPr>
        <w:numPr>
          <w:ilvl w:val="1"/>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резюме каждого эксперта (фото, контактные данные, информация об образовании, профессиональный опыт, темы и/или вопросы, по которым эксперт обладает требуемой квалификацией, и готов проводить встречи с участниками акселератора) и копии документов, подтверждающие соответствие требованиям, установленным разделом 13 данного ТЗ, для экспертов, </w:t>
      </w:r>
      <w:r>
        <w:rPr>
          <w:rFonts w:ascii="Times New Roman" w:eastAsia="Times New Roman" w:hAnsi="Times New Roman" w:cs="Times New Roman"/>
          <w:color w:val="000000"/>
        </w:rPr>
        <w:t>не заявленных Исполнителем в составе заявки на участие в закупке</w:t>
      </w:r>
      <w:r>
        <w:rPr>
          <w:rFonts w:ascii="Times New Roman" w:eastAsia="Times New Roman" w:hAnsi="Times New Roman" w:cs="Times New Roman"/>
        </w:rPr>
        <w:t>;</w:t>
      </w:r>
    </w:p>
    <w:p w14:paraId="0000007F" w14:textId="77777777" w:rsidR="00741709" w:rsidRDefault="00F02470">
      <w:pPr>
        <w:numPr>
          <w:ilvl w:val="1"/>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отчеты по результатам тематических встреч, включающие:</w:t>
      </w:r>
    </w:p>
    <w:p w14:paraId="00000080" w14:textId="77777777" w:rsidR="00741709" w:rsidRDefault="00F02470">
      <w:pPr>
        <w:numPr>
          <w:ilvl w:val="2"/>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запрос на тематическую встречу;</w:t>
      </w:r>
    </w:p>
    <w:p w14:paraId="00000081" w14:textId="77777777" w:rsidR="00741709" w:rsidRDefault="00F02470">
      <w:pPr>
        <w:numPr>
          <w:ilvl w:val="2"/>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детализацию запроса команды на тематическую встречу;</w:t>
      </w:r>
    </w:p>
    <w:p w14:paraId="00000082" w14:textId="77777777" w:rsidR="00741709" w:rsidRDefault="00F02470">
      <w:pPr>
        <w:numPr>
          <w:ilvl w:val="2"/>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содержание тематической встречи;</w:t>
      </w:r>
    </w:p>
    <w:p w14:paraId="00000083" w14:textId="77777777" w:rsidR="00741709" w:rsidRDefault="00F02470">
      <w:pPr>
        <w:numPr>
          <w:ilvl w:val="2"/>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итог тематической встречи (должен содержать не менее 3 развернутых предложений с описанием по тематике встречи);</w:t>
      </w:r>
    </w:p>
    <w:p w14:paraId="00000084" w14:textId="77777777" w:rsidR="00741709" w:rsidRDefault="00F02470">
      <w:pPr>
        <w:numPr>
          <w:ilvl w:val="2"/>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фотоотчет по факту проведения тематической встречи с экспертом согласно реестру (не менее 1-ой фотографии или скриншота экрана, отражающего фамилию и имя эксперта и дату проведения встречи в формате ДД.ММ.ГГГГ) или письменные рекомендации, выданные экспертом команде, на основании отчетов </w:t>
      </w:r>
      <w:proofErr w:type="spellStart"/>
      <w:r>
        <w:rPr>
          <w:rFonts w:ascii="Times New Roman" w:eastAsia="Times New Roman" w:hAnsi="Times New Roman" w:cs="Times New Roman"/>
        </w:rPr>
        <w:t>трекеров</w:t>
      </w:r>
      <w:proofErr w:type="spellEnd"/>
      <w:r>
        <w:rPr>
          <w:rFonts w:ascii="Times New Roman" w:eastAsia="Times New Roman" w:hAnsi="Times New Roman" w:cs="Times New Roman"/>
        </w:rPr>
        <w:t xml:space="preserve"> и информации о команде участнике акселератора, предоставленной в Системе EDU Заказчика (отчет должен содержать ФИО эксперта, детализацию запроса на тематическую встречу и конкретные рекомендации эксперта по запросу от технологической компании, объем письменной консультации не менее 1500 знаков (с пробелами));</w:t>
      </w:r>
    </w:p>
    <w:p w14:paraId="00000085" w14:textId="77777777" w:rsidR="00741709" w:rsidRDefault="00F02470">
      <w:pPr>
        <w:numPr>
          <w:ilvl w:val="1"/>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словарь сокращений (аббревиатуры, сокращения, профессиональные термины, используемые в отчетах по результатам тематических встреч).</w:t>
      </w:r>
    </w:p>
    <w:p w14:paraId="00000086" w14:textId="77777777" w:rsidR="00741709" w:rsidRDefault="00741709">
      <w:pPr>
        <w:spacing w:line="240" w:lineRule="auto"/>
        <w:jc w:val="both"/>
        <w:rPr>
          <w:rFonts w:ascii="Times New Roman" w:eastAsia="Times New Roman" w:hAnsi="Times New Roman" w:cs="Times New Roman"/>
          <w:highlight w:val="white"/>
        </w:rPr>
      </w:pPr>
    </w:p>
    <w:p w14:paraId="00000087" w14:textId="77777777" w:rsidR="00741709" w:rsidRDefault="00741709">
      <w:pPr>
        <w:spacing w:line="240" w:lineRule="auto"/>
        <w:jc w:val="both"/>
        <w:rPr>
          <w:rFonts w:ascii="Times New Roman" w:eastAsia="Times New Roman" w:hAnsi="Times New Roman" w:cs="Times New Roman"/>
          <w:highlight w:val="white"/>
        </w:rPr>
      </w:pPr>
    </w:p>
    <w:p w14:paraId="00000088" w14:textId="77777777" w:rsidR="00741709" w:rsidRDefault="00741709">
      <w:pPr>
        <w:spacing w:line="240" w:lineRule="auto"/>
        <w:jc w:val="both"/>
        <w:rPr>
          <w:rFonts w:ascii="Times New Roman" w:eastAsia="Times New Roman" w:hAnsi="Times New Roman" w:cs="Times New Roman"/>
          <w:highlight w:val="white"/>
        </w:rPr>
      </w:pPr>
    </w:p>
    <w:p w14:paraId="00000089" w14:textId="77777777" w:rsidR="00741709" w:rsidRDefault="00741709">
      <w:pPr>
        <w:spacing w:line="240" w:lineRule="auto"/>
        <w:jc w:val="both"/>
        <w:rPr>
          <w:rFonts w:ascii="Times New Roman" w:eastAsia="Times New Roman" w:hAnsi="Times New Roman" w:cs="Times New Roman"/>
          <w:highlight w:val="white"/>
        </w:rPr>
      </w:pPr>
    </w:p>
    <w:sectPr w:rsidR="00741709">
      <w:pgSz w:w="11909" w:h="16834"/>
      <w:pgMar w:top="283" w:right="548" w:bottom="381" w:left="7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67EF9"/>
    <w:multiLevelType w:val="multilevel"/>
    <w:tmpl w:val="CCE88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FC6F75"/>
    <w:multiLevelType w:val="multilevel"/>
    <w:tmpl w:val="677677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741126D"/>
    <w:multiLevelType w:val="multilevel"/>
    <w:tmpl w:val="48B24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F6278B8"/>
    <w:multiLevelType w:val="multilevel"/>
    <w:tmpl w:val="076E6220"/>
    <w:lvl w:ilvl="0">
      <w:start w:val="1"/>
      <w:numFmt w:val="decimal"/>
      <w:lvlText w:val="%1."/>
      <w:lvlJc w:val="left"/>
      <w:pPr>
        <w:ind w:left="720" w:hanging="360"/>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9B30AA7"/>
    <w:multiLevelType w:val="multilevel"/>
    <w:tmpl w:val="D7BE50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212774">
    <w:abstractNumId w:val="3"/>
  </w:num>
  <w:num w:numId="2" w16cid:durableId="465198527">
    <w:abstractNumId w:val="4"/>
  </w:num>
  <w:num w:numId="3" w16cid:durableId="1129203071">
    <w:abstractNumId w:val="0"/>
  </w:num>
  <w:num w:numId="4" w16cid:durableId="1215197691">
    <w:abstractNumId w:val="1"/>
  </w:num>
  <w:num w:numId="5" w16cid:durableId="697199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709"/>
    <w:rsid w:val="0011371C"/>
    <w:rsid w:val="00404B2D"/>
    <w:rsid w:val="00741709"/>
    <w:rsid w:val="00F02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6B938"/>
  <w15:docId w15:val="{B558CFDA-7B14-450A-99C1-7E7FF6768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character" w:styleId="a7">
    <w:name w:val="annotation reference"/>
    <w:basedOn w:val="a0"/>
    <w:uiPriority w:val="99"/>
    <w:semiHidden/>
    <w:unhideWhenUsed/>
    <w:rsid w:val="00A01B4F"/>
    <w:rPr>
      <w:sz w:val="16"/>
      <w:szCs w:val="16"/>
    </w:rPr>
  </w:style>
  <w:style w:type="paragraph" w:styleId="a8">
    <w:name w:val="annotation text"/>
    <w:basedOn w:val="a"/>
    <w:link w:val="a9"/>
    <w:uiPriority w:val="99"/>
    <w:unhideWhenUsed/>
    <w:rsid w:val="00A01B4F"/>
    <w:pPr>
      <w:spacing w:line="240" w:lineRule="auto"/>
    </w:pPr>
    <w:rPr>
      <w:sz w:val="20"/>
      <w:szCs w:val="20"/>
    </w:rPr>
  </w:style>
  <w:style w:type="character" w:customStyle="1" w:styleId="a9">
    <w:name w:val="Текст примечания Знак"/>
    <w:basedOn w:val="a0"/>
    <w:link w:val="a8"/>
    <w:uiPriority w:val="99"/>
    <w:rsid w:val="00A01B4F"/>
    <w:rPr>
      <w:sz w:val="20"/>
      <w:szCs w:val="20"/>
    </w:rPr>
  </w:style>
  <w:style w:type="paragraph" w:styleId="aa">
    <w:name w:val="annotation subject"/>
    <w:basedOn w:val="a8"/>
    <w:next w:val="a8"/>
    <w:link w:val="ab"/>
    <w:uiPriority w:val="99"/>
    <w:semiHidden/>
    <w:unhideWhenUsed/>
    <w:rsid w:val="00D1261B"/>
    <w:rPr>
      <w:b/>
      <w:bCs/>
    </w:rPr>
  </w:style>
  <w:style w:type="character" w:customStyle="1" w:styleId="ab">
    <w:name w:val="Тема примечания Знак"/>
    <w:basedOn w:val="a9"/>
    <w:link w:val="aa"/>
    <w:uiPriority w:val="99"/>
    <w:semiHidden/>
    <w:rsid w:val="00D126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nd=FC22D153EA7FEE5AE3ABFB483CD88BD0&amp;req=doc&amp;base=LAW&amp;n=328854&amp;REFFIELD=134&amp;REFDST=100010&amp;REFDOC=372323&amp;REFBASE=LAW&amp;stat=refcode%3D16876%3Bindex%3D35&amp;date=23.03.20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nd=FC22D153EA7FEE5AE3ABFB483CD88BD0&amp;req=doc&amp;base=LAW&amp;n=328937&amp;REFFIELD=134&amp;REFDST=100010&amp;REFDOC=372323&amp;REFBASE=LAW&amp;stat=refcode%3D10881%3Bindex%3D35&amp;date=23.03.202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i4HfoKjH91go56V6zyzZnoatSQ==">AMUW2mUuteB1+HMXQNEZkSGwD+ycZCqRhZ2F2trDh0Aaoov8Skj74PJQxpg9CikgS0wLStuLZJEo+T3CTJzxEN6X50M+2iUeGDIF9X/gm+FJbLR42ifaw2U=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3094</Words>
  <Characters>17638</Characters>
  <Application>Microsoft Office Word</Application>
  <DocSecurity>0</DocSecurity>
  <Lines>146</Lines>
  <Paragraphs>41</Paragraphs>
  <ScaleCrop>false</ScaleCrop>
  <Company/>
  <LinksUpToDate>false</LinksUpToDate>
  <CharactersWithSpaces>20691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Ирина Александровна</dc:creator>
  <cp:lastModifiedBy>Попова Ирина Александровна</cp:lastModifiedBy>
  <cp:revision>4</cp:revision>
  <dcterms:created xsi:type="dcterms:W3CDTF">2022-12-15T07:09:00Z</dcterms:created>
  <dcterms:modified xsi:type="dcterms:W3CDTF">2022-12-16T07:19:00Z</dcterms:modified>
</cp:coreProperties>
</file>