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B425A" w14:textId="5501F248" w:rsidR="002A40FD" w:rsidRPr="00A3677C" w:rsidRDefault="002A40FD" w:rsidP="00447662">
      <w:pPr>
        <w:pStyle w:val="a5"/>
        <w:ind w:firstLine="0"/>
        <w:jc w:val="center"/>
        <w:rPr>
          <w:b/>
          <w:sz w:val="24"/>
          <w:szCs w:val="24"/>
        </w:rPr>
      </w:pPr>
      <w:r w:rsidRPr="00A3677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3D6854" w:rsidRPr="00A3677C">
        <w:rPr>
          <w:b/>
          <w:sz w:val="24"/>
          <w:szCs w:val="24"/>
        </w:rPr>
        <w:t>П1/2-16</w:t>
      </w:r>
      <w:r w:rsidRPr="00A3677C">
        <w:rPr>
          <w:b/>
          <w:sz w:val="24"/>
          <w:szCs w:val="24"/>
          <w:lang w:val="en-US"/>
        </w:rPr>
        <w:t>/</w:t>
      </w:r>
      <w:r w:rsidRPr="00A3677C">
        <w:rPr>
          <w:b/>
          <w:sz w:val="24"/>
          <w:szCs w:val="24"/>
        </w:rPr>
        <w:t>2</w:t>
      </w:r>
    </w:p>
    <w:p w14:paraId="1C5D557B" w14:textId="6156286D" w:rsidR="002A40FD" w:rsidRPr="00A3677C" w:rsidRDefault="002A40FD" w:rsidP="00447662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A3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и оценки заявок </w:t>
      </w:r>
      <w:r w:rsidRPr="00A3677C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участие в процедуре  </w:t>
      </w:r>
      <w:r w:rsidRPr="00A3677C">
        <w:rPr>
          <w:rFonts w:ascii="Times New Roman" w:hAnsi="Times New Roman" w:cs="Times New Roman"/>
          <w:sz w:val="24"/>
          <w:szCs w:val="24"/>
        </w:rPr>
        <w:t xml:space="preserve">предварительного квалификационного  отбора  Исполнителей, обладающих достаточной квалификацией для   оказания услуг по организации </w:t>
      </w:r>
      <w:r w:rsidR="003D6854" w:rsidRPr="00A3677C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r w:rsidRPr="00A3677C">
        <w:rPr>
          <w:rFonts w:ascii="Times New Roman" w:hAnsi="Times New Roman" w:cs="Times New Roman"/>
          <w:sz w:val="24"/>
          <w:szCs w:val="24"/>
        </w:rPr>
        <w:t>мероприятий Фонда развития интернет-инициатив и подведения итогов процедуры.</w:t>
      </w:r>
    </w:p>
    <w:p w14:paraId="43A520E8" w14:textId="77777777" w:rsidR="002A40FD" w:rsidRPr="00A3677C" w:rsidRDefault="002A40FD" w:rsidP="009568BF">
      <w:pPr>
        <w:pStyle w:val="a7"/>
        <w:spacing w:line="240" w:lineRule="auto"/>
        <w:ind w:left="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14:paraId="30EC3A3A" w14:textId="77777777" w:rsidR="002A40FD" w:rsidRPr="00A3677C" w:rsidRDefault="002A40FD" w:rsidP="009568BF">
      <w:pPr>
        <w:pStyle w:val="a7"/>
        <w:tabs>
          <w:tab w:val="left" w:pos="993"/>
        </w:tabs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0"/>
        <w:gridCol w:w="4860"/>
      </w:tblGrid>
      <w:tr w:rsidR="002A40FD" w:rsidRPr="00A3677C" w14:paraId="575F5FBC" w14:textId="77777777" w:rsidTr="00447662">
        <w:tc>
          <w:tcPr>
            <w:tcW w:w="5040" w:type="dxa"/>
          </w:tcPr>
          <w:p w14:paraId="718283A8" w14:textId="77777777" w:rsidR="002A40FD" w:rsidRPr="00A3677C" w:rsidRDefault="002A40FD" w:rsidP="009568BF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701B3E6" w14:textId="60EAF470" w:rsidR="002A40FD" w:rsidRPr="00A3677C" w:rsidRDefault="003D6854" w:rsidP="003D6854">
            <w:pPr>
              <w:tabs>
                <w:tab w:val="left" w:pos="993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«20</w:t>
            </w:r>
            <w:r w:rsidR="002A40FD" w:rsidRPr="00A367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A40FD" w:rsidRPr="00A3677C">
              <w:rPr>
                <w:rFonts w:ascii="Times New Roman" w:hAnsi="Times New Roman" w:cs="Times New Roman"/>
                <w:sz w:val="24"/>
                <w:szCs w:val="24"/>
              </w:rPr>
              <w:t xml:space="preserve">     2015 г.</w:t>
            </w:r>
          </w:p>
        </w:tc>
      </w:tr>
    </w:tbl>
    <w:p w14:paraId="00E89FB2" w14:textId="77777777" w:rsidR="002A40FD" w:rsidRPr="00A3677C" w:rsidRDefault="002A40FD" w:rsidP="009568BF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30E75" w14:textId="77777777" w:rsidR="002A40FD" w:rsidRPr="00A3677C" w:rsidRDefault="002A40FD" w:rsidP="009568BF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28E9171" w14:textId="77777777" w:rsidR="002A40FD" w:rsidRPr="00A3677C" w:rsidRDefault="002A40FD" w:rsidP="009568BF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3677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26E99DC" w14:textId="77777777" w:rsidR="002A40FD" w:rsidRPr="00A3677C" w:rsidRDefault="002A40FD" w:rsidP="009568BF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A3677C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8113F6D" w14:textId="77777777" w:rsidR="002A40FD" w:rsidRPr="00A3677C" w:rsidRDefault="002A40FD" w:rsidP="009568BF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8BAFC69" w14:textId="77777777" w:rsidR="002A40FD" w:rsidRPr="00A3677C" w:rsidRDefault="002A40FD" w:rsidP="009568BF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8720A63" w14:textId="77777777" w:rsidR="002A40FD" w:rsidRPr="00A3677C" w:rsidRDefault="002A40FD" w:rsidP="009568BF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>Контактное лицо: Специалист по процедурам - Василевская Ольга Григорьевна</w:t>
      </w:r>
    </w:p>
    <w:p w14:paraId="3504E8AC" w14:textId="77777777" w:rsidR="003D6854" w:rsidRPr="00A3677C" w:rsidRDefault="003D6854" w:rsidP="003D68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5ECE40" w14:textId="77777777" w:rsidR="003D6854" w:rsidRPr="00A3677C" w:rsidRDefault="003D6854" w:rsidP="003D685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77C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Pr="00A3677C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процедуры  </w:t>
      </w:r>
      <w:r w:rsidRPr="00A3677C">
        <w:rPr>
          <w:rFonts w:ascii="Times New Roman" w:hAnsi="Times New Roman" w:cs="Times New Roman"/>
          <w:sz w:val="24"/>
          <w:szCs w:val="24"/>
        </w:rPr>
        <w:t>предварительного квалификационного  отбора  Исполнителей, обладающих достаточной квалификацией для   оказания услуг по организации и проведению мероприятий Фонда развития интернет-инициатив было опубликовано на сайте Заказчика «08</w:t>
      </w:r>
      <w:r w:rsidRPr="00A3677C">
        <w:rPr>
          <w:rFonts w:ascii="Times New Roman" w:hAnsi="Times New Roman" w:cs="Times New Roman"/>
          <w:bCs/>
          <w:sz w:val="24"/>
          <w:szCs w:val="24"/>
        </w:rPr>
        <w:t>» апреля  2016 года.</w:t>
      </w:r>
    </w:p>
    <w:p w14:paraId="081B36D5" w14:textId="77777777" w:rsidR="003D6854" w:rsidRPr="00A3677C" w:rsidRDefault="003D6854" w:rsidP="003D685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7C">
        <w:rPr>
          <w:rFonts w:ascii="Times New Roman" w:hAnsi="Times New Roman" w:cs="Times New Roman"/>
          <w:b/>
          <w:sz w:val="24"/>
          <w:szCs w:val="24"/>
        </w:rPr>
        <w:t>Предмет процедуры</w:t>
      </w:r>
      <w:r w:rsidRPr="00A3677C">
        <w:rPr>
          <w:rFonts w:ascii="Times New Roman" w:hAnsi="Times New Roman" w:cs="Times New Roman"/>
          <w:sz w:val="24"/>
          <w:szCs w:val="24"/>
        </w:rPr>
        <w:t>: оказание услуг по организации и проведению мероприятий Фонда развития интернет-инициатив.</w:t>
      </w:r>
      <w:r w:rsidRPr="00A367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17134B18" w14:textId="77777777" w:rsidR="003D6854" w:rsidRPr="00A3677C" w:rsidRDefault="003D6854" w:rsidP="003D685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- не установлена</w:t>
      </w:r>
      <w:r w:rsidRPr="00A367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3496A8" w14:textId="77777777" w:rsidR="003D6854" w:rsidRPr="00A3677C" w:rsidRDefault="003D6854" w:rsidP="003D685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7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A3677C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процедуре.</w:t>
      </w:r>
    </w:p>
    <w:p w14:paraId="2E849B0D" w14:textId="77777777" w:rsidR="003D6854" w:rsidRPr="00A3677C" w:rsidRDefault="003D6854" w:rsidP="003D6854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 xml:space="preserve">На участие в процедуре было подано шесть  конвертов с заявками. </w:t>
      </w:r>
    </w:p>
    <w:p w14:paraId="303D0A68" w14:textId="77777777" w:rsidR="003D6854" w:rsidRPr="00A3677C" w:rsidRDefault="003D6854" w:rsidP="003D6854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процедуре осуществлялось по адресу: </w:t>
      </w:r>
      <w:r w:rsidRPr="00A3677C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«Сквер» "19" апреля 2016 г.</w:t>
      </w:r>
    </w:p>
    <w:p w14:paraId="0DB10A4A" w14:textId="77777777" w:rsidR="003D6854" w:rsidRPr="00A3677C" w:rsidRDefault="003D6854" w:rsidP="003D6854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29 минуту по московскому времени и завершена в 11 часов 47 минут по московскому времени. </w:t>
      </w:r>
    </w:p>
    <w:p w14:paraId="5DF2C6C0" w14:textId="5BE46C95" w:rsidR="002A40FD" w:rsidRPr="00A3677C" w:rsidRDefault="002A40FD" w:rsidP="003D6854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b/>
          <w:sz w:val="24"/>
          <w:szCs w:val="24"/>
        </w:rPr>
        <w:t xml:space="preserve">5. Срок и место рассмотрения  </w:t>
      </w:r>
      <w:r w:rsidRPr="00A3677C">
        <w:rPr>
          <w:rFonts w:ascii="Times New Roman" w:hAnsi="Times New Roman" w:cs="Times New Roman"/>
          <w:sz w:val="24"/>
          <w:szCs w:val="24"/>
        </w:rPr>
        <w:t>заявок на участие в процедуре и подведения итогов процедуры.</w:t>
      </w:r>
    </w:p>
    <w:p w14:paraId="45BF8AAB" w14:textId="2A7D6FB6" w:rsidR="002A40FD" w:rsidRPr="00A3677C" w:rsidRDefault="002A40FD" w:rsidP="0044766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3677C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процедурам осуществлялось </w:t>
      </w:r>
      <w:r w:rsidRPr="00A3677C">
        <w:rPr>
          <w:rFonts w:ascii="Times New Roman" w:hAnsi="Times New Roman" w:cs="Times New Roman"/>
          <w:sz w:val="24"/>
          <w:szCs w:val="24"/>
        </w:rPr>
        <w:t>по адресу:</w:t>
      </w:r>
      <w:r w:rsidRPr="00A3677C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</w:t>
      </w:r>
      <w:r w:rsidR="003D6854" w:rsidRPr="00A3677C">
        <w:rPr>
          <w:rFonts w:ascii="Times New Roman" w:hAnsi="Times New Roman" w:cs="Times New Roman"/>
          <w:sz w:val="24"/>
          <w:szCs w:val="24"/>
        </w:rPr>
        <w:t>ентр «Silver City», 7 этаж, с 12 часов 00 минут  19 апреля  2016 года до 18 часов 00</w:t>
      </w:r>
      <w:r w:rsidRPr="00A3677C">
        <w:rPr>
          <w:rFonts w:ascii="Times New Roman" w:hAnsi="Times New Roman" w:cs="Times New Roman"/>
          <w:sz w:val="24"/>
          <w:szCs w:val="24"/>
        </w:rPr>
        <w:t xml:space="preserve"> </w:t>
      </w:r>
      <w:r w:rsidR="003D6854" w:rsidRPr="00A3677C">
        <w:rPr>
          <w:rFonts w:ascii="Times New Roman" w:hAnsi="Times New Roman" w:cs="Times New Roman"/>
          <w:sz w:val="24"/>
          <w:szCs w:val="24"/>
        </w:rPr>
        <w:t>минут  по московскому времени 20 мая</w:t>
      </w:r>
      <w:r w:rsidR="0094612B">
        <w:rPr>
          <w:rFonts w:ascii="Times New Roman" w:hAnsi="Times New Roman" w:cs="Times New Roman"/>
          <w:sz w:val="24"/>
          <w:szCs w:val="24"/>
        </w:rPr>
        <w:t xml:space="preserve">  2016</w:t>
      </w:r>
      <w:r w:rsidRPr="00A3677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0379092" w14:textId="77777777" w:rsidR="002A40FD" w:rsidRPr="00A3677C" w:rsidRDefault="002A40FD" w:rsidP="00447662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A3677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A3677C">
        <w:rPr>
          <w:rFonts w:ascii="Times New Roman" w:hAnsi="Times New Roman" w:cs="Times New Roman"/>
          <w:sz w:val="24"/>
          <w:szCs w:val="24"/>
        </w:rPr>
        <w:t>процедуре</w:t>
      </w:r>
      <w:r w:rsidRPr="00A3677C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процедурам (далее – Комиссия) в следующем составе:</w:t>
      </w:r>
    </w:p>
    <w:p w14:paraId="4EB211B2" w14:textId="77777777" w:rsidR="002A40FD" w:rsidRPr="00A3677C" w:rsidRDefault="002A40FD" w:rsidP="00447662">
      <w:pPr>
        <w:pStyle w:val="21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 w:rsidRPr="00A3677C">
        <w:rPr>
          <w:sz w:val="24"/>
          <w:szCs w:val="24"/>
        </w:rPr>
        <w:t>Члены Комиссии:</w:t>
      </w:r>
    </w:p>
    <w:p w14:paraId="205DBFA5" w14:textId="77777777" w:rsidR="002A40FD" w:rsidRPr="00A3677C" w:rsidRDefault="002A40FD" w:rsidP="009568BF">
      <w:pPr>
        <w:pStyle w:val="21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3677C">
        <w:rPr>
          <w:sz w:val="24"/>
          <w:szCs w:val="24"/>
        </w:rPr>
        <w:t>Плаксина Мария Эдгаровна;</w:t>
      </w:r>
    </w:p>
    <w:p w14:paraId="478DD896" w14:textId="77777777" w:rsidR="002A40FD" w:rsidRPr="00A3677C" w:rsidRDefault="002A40FD" w:rsidP="009568BF">
      <w:pPr>
        <w:pStyle w:val="21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3677C">
        <w:rPr>
          <w:sz w:val="24"/>
          <w:szCs w:val="24"/>
        </w:rPr>
        <w:t xml:space="preserve">Скрипников Сергей Владимирович; </w:t>
      </w:r>
    </w:p>
    <w:p w14:paraId="27BABC73" w14:textId="77777777" w:rsidR="002A40FD" w:rsidRPr="00A3677C" w:rsidRDefault="002A40FD" w:rsidP="009568BF">
      <w:pPr>
        <w:pStyle w:val="21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3677C">
        <w:rPr>
          <w:sz w:val="24"/>
          <w:szCs w:val="24"/>
        </w:rPr>
        <w:t>Василевская Ольга Григорьевна;</w:t>
      </w:r>
    </w:p>
    <w:p w14:paraId="41DC45F8" w14:textId="77777777" w:rsidR="002A40FD" w:rsidRPr="00A3677C" w:rsidRDefault="002A40FD" w:rsidP="009568BF">
      <w:pPr>
        <w:pStyle w:val="21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A3677C">
        <w:rPr>
          <w:sz w:val="24"/>
          <w:szCs w:val="24"/>
        </w:rPr>
        <w:t>Дмитриев Дмитрий Николаевич.</w:t>
      </w:r>
    </w:p>
    <w:p w14:paraId="3A750BCB" w14:textId="05EB79B6" w:rsidR="002A40FD" w:rsidRPr="00A3677C" w:rsidRDefault="002A40FD" w:rsidP="009568BF">
      <w:pPr>
        <w:pStyle w:val="21"/>
        <w:tabs>
          <w:tab w:val="num" w:pos="0"/>
          <w:tab w:val="left" w:pos="993"/>
        </w:tabs>
        <w:spacing w:line="240" w:lineRule="auto"/>
        <w:ind w:left="0"/>
        <w:rPr>
          <w:sz w:val="24"/>
          <w:szCs w:val="24"/>
        </w:rPr>
      </w:pPr>
      <w:r w:rsidRPr="00A3677C">
        <w:rPr>
          <w:sz w:val="24"/>
          <w:szCs w:val="24"/>
        </w:rPr>
        <w:t xml:space="preserve">Всего присутствовало </w:t>
      </w:r>
      <w:r w:rsidR="003D6854" w:rsidRPr="00A3677C">
        <w:rPr>
          <w:sz w:val="24"/>
          <w:szCs w:val="24"/>
        </w:rPr>
        <w:t>четверо</w:t>
      </w:r>
      <w:r w:rsidRPr="00A3677C">
        <w:rPr>
          <w:sz w:val="24"/>
          <w:szCs w:val="24"/>
        </w:rPr>
        <w:t xml:space="preserve"> из пяти членов </w:t>
      </w:r>
      <w:r w:rsidRPr="00A3677C">
        <w:rPr>
          <w:bCs/>
          <w:sz w:val="24"/>
          <w:szCs w:val="24"/>
        </w:rPr>
        <w:t>Комиссии по крупным процедурам</w:t>
      </w:r>
      <w:r w:rsidRPr="00A3677C">
        <w:rPr>
          <w:sz w:val="24"/>
          <w:szCs w:val="24"/>
        </w:rPr>
        <w:t>, кворум имеется, заседание  правомочно.</w:t>
      </w:r>
    </w:p>
    <w:p w14:paraId="50C475EF" w14:textId="77777777" w:rsidR="009568BF" w:rsidRPr="00A3677C" w:rsidRDefault="009568BF" w:rsidP="009568BF">
      <w:pPr>
        <w:pStyle w:val="21"/>
        <w:tabs>
          <w:tab w:val="num" w:pos="0"/>
          <w:tab w:val="left" w:pos="993"/>
        </w:tabs>
        <w:spacing w:line="240" w:lineRule="auto"/>
        <w:ind w:left="0"/>
        <w:rPr>
          <w:sz w:val="24"/>
          <w:szCs w:val="24"/>
        </w:rPr>
      </w:pPr>
    </w:p>
    <w:p w14:paraId="6601B5E8" w14:textId="77777777" w:rsidR="004E3426" w:rsidRPr="00A3677C" w:rsidRDefault="004E3426" w:rsidP="009568BF">
      <w:pPr>
        <w:pStyle w:val="21"/>
        <w:tabs>
          <w:tab w:val="num" w:pos="0"/>
          <w:tab w:val="left" w:pos="993"/>
        </w:tabs>
        <w:spacing w:line="240" w:lineRule="auto"/>
        <w:ind w:left="0"/>
        <w:rPr>
          <w:sz w:val="24"/>
          <w:szCs w:val="24"/>
        </w:rPr>
      </w:pPr>
    </w:p>
    <w:p w14:paraId="37523646" w14:textId="7B85CF41" w:rsidR="002A40FD" w:rsidRPr="00A3677C" w:rsidRDefault="002A40FD" w:rsidP="009568BF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>Сведения об участниках  процедуры, подавших заявки на участие в процедуре</w:t>
      </w:r>
      <w:r w:rsidR="00180532" w:rsidRPr="00A3677C">
        <w:rPr>
          <w:rFonts w:ascii="Times New Roman" w:hAnsi="Times New Roman" w:cs="Times New Roman"/>
          <w:sz w:val="24"/>
          <w:szCs w:val="24"/>
        </w:rPr>
        <w:t xml:space="preserve"> отражены в Таблице №1 :</w:t>
      </w:r>
    </w:p>
    <w:p w14:paraId="13F00F40" w14:textId="0A794FBF" w:rsidR="009568BF" w:rsidRPr="00A3677C" w:rsidRDefault="009568BF" w:rsidP="009568BF">
      <w:pPr>
        <w:pStyle w:val="ConsPlusNormal"/>
        <w:tabs>
          <w:tab w:val="left" w:pos="993"/>
        </w:tabs>
        <w:spacing w:line="276" w:lineRule="auto"/>
        <w:ind w:left="128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77C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846"/>
      </w:tblGrid>
      <w:tr w:rsidR="002A40FD" w:rsidRPr="00A3677C" w14:paraId="2E8BB0BE" w14:textId="77777777" w:rsidTr="004E3426">
        <w:trPr>
          <w:trHeight w:val="1558"/>
        </w:trPr>
        <w:tc>
          <w:tcPr>
            <w:tcW w:w="959" w:type="dxa"/>
            <w:vAlign w:val="center"/>
          </w:tcPr>
          <w:p w14:paraId="67F8F8DD" w14:textId="77777777" w:rsidR="002A40FD" w:rsidRPr="00A3677C" w:rsidRDefault="002A40FD" w:rsidP="004E342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5702388" w14:textId="77777777" w:rsidR="002A40FD" w:rsidRPr="00A3677C" w:rsidRDefault="002A40FD" w:rsidP="004E342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3260" w:type="dxa"/>
            <w:vAlign w:val="center"/>
          </w:tcPr>
          <w:p w14:paraId="4A0FEBCD" w14:textId="77777777" w:rsidR="002A40FD" w:rsidRPr="00A3677C" w:rsidRDefault="002A40FD" w:rsidP="004E342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процедуры</w:t>
            </w:r>
          </w:p>
        </w:tc>
        <w:tc>
          <w:tcPr>
            <w:tcW w:w="5846" w:type="dxa"/>
            <w:vAlign w:val="center"/>
          </w:tcPr>
          <w:p w14:paraId="5FD5F7AE" w14:textId="77777777" w:rsidR="002A40FD" w:rsidRPr="00A3677C" w:rsidRDefault="002A40FD" w:rsidP="004E342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</w:tr>
      <w:tr w:rsidR="002A40FD" w:rsidRPr="00A3677C" w14:paraId="11F7531E" w14:textId="77777777" w:rsidTr="004E3426">
        <w:trPr>
          <w:trHeight w:val="768"/>
        </w:trPr>
        <w:tc>
          <w:tcPr>
            <w:tcW w:w="959" w:type="dxa"/>
            <w:vAlign w:val="center"/>
          </w:tcPr>
          <w:p w14:paraId="40083D65" w14:textId="77777777" w:rsidR="002A40FD" w:rsidRPr="00A3677C" w:rsidRDefault="002A40FD" w:rsidP="00FC2A5C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7281367" w14:textId="62D2986B" w:rsidR="002A40FD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ООО «ЦДП»</w:t>
            </w:r>
          </w:p>
        </w:tc>
        <w:tc>
          <w:tcPr>
            <w:tcW w:w="5846" w:type="dxa"/>
            <w:vAlign w:val="center"/>
          </w:tcPr>
          <w:p w14:paraId="777D035F" w14:textId="18967D6B" w:rsidR="002A40FD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125284, г. Москва, Ленинградский проспект, д. 31А, стр.1</w:t>
            </w:r>
          </w:p>
        </w:tc>
      </w:tr>
      <w:tr w:rsidR="002A40FD" w:rsidRPr="00A3677C" w14:paraId="1693DD5B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583C6643" w14:textId="77777777" w:rsidR="002A40FD" w:rsidRPr="00A3677C" w:rsidRDefault="002A40FD" w:rsidP="00FC2A5C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02BF34E" w14:textId="15D2E05A" w:rsidR="002A40FD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«Инсайдерс»</w:t>
            </w:r>
          </w:p>
        </w:tc>
        <w:tc>
          <w:tcPr>
            <w:tcW w:w="5846" w:type="dxa"/>
            <w:vAlign w:val="center"/>
          </w:tcPr>
          <w:p w14:paraId="6C4340B7" w14:textId="7B517DA3" w:rsidR="002A40FD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127473, г. Москва, 10</w:t>
            </w:r>
            <w:r w:rsidR="00B130E8" w:rsidRPr="00A36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й Волконский пер., д. 9, стр.1</w:t>
            </w:r>
          </w:p>
          <w:p w14:paraId="5121BE71" w14:textId="0C1A6938" w:rsidR="003D6854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54" w:rsidRPr="00A3677C" w14:paraId="5CD855AF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792CE6FB" w14:textId="77777777" w:rsidR="003D6854" w:rsidRPr="00A3677C" w:rsidRDefault="003D6854" w:rsidP="00FC2A5C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A61CD9" w14:textId="4A7AF753" w:rsidR="003D6854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ООО «Френдс Ивентс»</w:t>
            </w:r>
          </w:p>
        </w:tc>
        <w:tc>
          <w:tcPr>
            <w:tcW w:w="5846" w:type="dxa"/>
            <w:vAlign w:val="center"/>
          </w:tcPr>
          <w:p w14:paraId="61AD9FCD" w14:textId="02D4BE3D" w:rsidR="003D6854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123100, г. Москва, Пресненская наб., дом 12, этаж 46 башня Федерация Запад</w:t>
            </w:r>
          </w:p>
        </w:tc>
      </w:tr>
      <w:tr w:rsidR="003D6854" w:rsidRPr="00A3677C" w14:paraId="0CB94177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7F6BC7D2" w14:textId="77777777" w:rsidR="003D6854" w:rsidRPr="00A3677C" w:rsidRDefault="003D6854" w:rsidP="00FC2A5C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4DDB687" w14:textId="1804F094" w:rsidR="003D6854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«Социальные Сети»</w:t>
            </w:r>
          </w:p>
        </w:tc>
        <w:tc>
          <w:tcPr>
            <w:tcW w:w="5846" w:type="dxa"/>
            <w:vAlign w:val="center"/>
          </w:tcPr>
          <w:p w14:paraId="28B040F8" w14:textId="529B157D" w:rsidR="003D6854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115191, г. Москва, Большая Тульская., д. 10, стр.4</w:t>
            </w:r>
          </w:p>
        </w:tc>
      </w:tr>
      <w:tr w:rsidR="003D6854" w:rsidRPr="00A3677C" w14:paraId="154A2D85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798239E1" w14:textId="77777777" w:rsidR="003D6854" w:rsidRPr="00A3677C" w:rsidRDefault="003D6854" w:rsidP="00FC2A5C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3F35544" w14:textId="427112DA" w:rsidR="003D6854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«Олнайтерс </w:t>
            </w:r>
            <w:r w:rsidR="0094612B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46" w:type="dxa"/>
            <w:vAlign w:val="center"/>
          </w:tcPr>
          <w:p w14:paraId="791AD429" w14:textId="6DB32E48" w:rsidR="003D6854" w:rsidRPr="00A3677C" w:rsidRDefault="003D6854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123022, г. Москва, ул. РОЧДЕЛЬСКАЯ, д. 15, стр.8.</w:t>
            </w:r>
          </w:p>
        </w:tc>
      </w:tr>
      <w:tr w:rsidR="003D6854" w:rsidRPr="00A3677C" w14:paraId="78ED8199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56DB6EF4" w14:textId="77777777" w:rsidR="003D6854" w:rsidRPr="00A3677C" w:rsidRDefault="003D6854" w:rsidP="00A3677C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B3C79BB" w14:textId="28568E38" w:rsidR="003D6854" w:rsidRPr="00A3677C" w:rsidRDefault="003D6854" w:rsidP="00A3677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ООО «СПН Коммс»</w:t>
            </w:r>
          </w:p>
        </w:tc>
        <w:tc>
          <w:tcPr>
            <w:tcW w:w="5846" w:type="dxa"/>
            <w:vAlign w:val="center"/>
          </w:tcPr>
          <w:p w14:paraId="1A16D4C6" w14:textId="29199305" w:rsidR="003D6854" w:rsidRPr="00A3677C" w:rsidRDefault="003D6854" w:rsidP="00A3677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117105, РФ, г. Москва, Варшавское ш., д.9, стр. 28</w:t>
            </w:r>
          </w:p>
        </w:tc>
      </w:tr>
    </w:tbl>
    <w:p w14:paraId="419F998A" w14:textId="77777777" w:rsidR="002A40FD" w:rsidRPr="00A3677C" w:rsidRDefault="002A40FD" w:rsidP="00A3677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процедуре, Комиссией путем голосования приняты следующие  решения: </w:t>
      </w:r>
    </w:p>
    <w:p w14:paraId="69EB30D2" w14:textId="0792F289" w:rsidR="004D440A" w:rsidRPr="004D440A" w:rsidRDefault="004D440A" w:rsidP="00A3677C">
      <w:pPr>
        <w:pStyle w:val="ConsPlusNormal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7C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A3677C">
        <w:rPr>
          <w:rFonts w:ascii="Times New Roman" w:hAnsi="Times New Roman" w:cs="Times New Roman"/>
          <w:b/>
          <w:sz w:val="24"/>
          <w:szCs w:val="24"/>
        </w:rPr>
        <w:t xml:space="preserve">ООО «ЦДП» </w:t>
      </w:r>
      <w:r w:rsidRPr="00A3677C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</w:t>
      </w:r>
      <w:r w:rsidR="0094612B">
        <w:rPr>
          <w:rFonts w:ascii="Times New Roman" w:hAnsi="Times New Roman" w:cs="Times New Roman"/>
          <w:sz w:val="24"/>
          <w:szCs w:val="24"/>
        </w:rPr>
        <w:t>Извещения</w:t>
      </w:r>
      <w:r w:rsidRPr="004D440A">
        <w:rPr>
          <w:rFonts w:ascii="Times New Roman" w:hAnsi="Times New Roman" w:cs="Times New Roman"/>
          <w:sz w:val="24"/>
          <w:szCs w:val="24"/>
        </w:rPr>
        <w:t xml:space="preserve"> и отказать участнику в допуске к участию в </w:t>
      </w:r>
      <w:r w:rsidR="0094612B">
        <w:rPr>
          <w:rFonts w:ascii="Times New Roman" w:hAnsi="Times New Roman" w:cs="Times New Roman"/>
          <w:sz w:val="24"/>
          <w:szCs w:val="24"/>
        </w:rPr>
        <w:t>процедуре</w:t>
      </w:r>
      <w:r w:rsidRPr="004D440A">
        <w:rPr>
          <w:rFonts w:ascii="Times New Roman" w:hAnsi="Times New Roman" w:cs="Times New Roman"/>
          <w:sz w:val="24"/>
          <w:szCs w:val="24"/>
        </w:rPr>
        <w:t xml:space="preserve">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4D440A" w:rsidRPr="00A3677C" w14:paraId="1CCD7A88" w14:textId="77777777" w:rsidTr="00474232">
        <w:trPr>
          <w:trHeight w:val="600"/>
        </w:trPr>
        <w:tc>
          <w:tcPr>
            <w:tcW w:w="993" w:type="dxa"/>
            <w:vAlign w:val="center"/>
          </w:tcPr>
          <w:p w14:paraId="7EBCCFC3" w14:textId="77777777" w:rsidR="004D440A" w:rsidRPr="00A3677C" w:rsidRDefault="004D440A" w:rsidP="00A36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2C7B6620" w14:textId="77777777" w:rsidR="004D440A" w:rsidRPr="00A3677C" w:rsidRDefault="004D440A" w:rsidP="00A36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5099DE3" w14:textId="77777777" w:rsidR="004D440A" w:rsidRPr="00A3677C" w:rsidRDefault="004D440A" w:rsidP="00A36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A36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2CFAD326" w14:textId="77777777" w:rsidR="004D440A" w:rsidRPr="00A3677C" w:rsidRDefault="004D440A" w:rsidP="00A36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2D832FCC" w14:textId="77777777" w:rsidR="004D440A" w:rsidRPr="00A3677C" w:rsidRDefault="004D440A" w:rsidP="00A36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D440A" w:rsidRPr="00A3677C" w14:paraId="5BC98797" w14:textId="77777777" w:rsidTr="00474232">
        <w:trPr>
          <w:trHeight w:val="600"/>
        </w:trPr>
        <w:tc>
          <w:tcPr>
            <w:tcW w:w="993" w:type="dxa"/>
            <w:vMerge w:val="restart"/>
            <w:vAlign w:val="center"/>
          </w:tcPr>
          <w:p w14:paraId="38DE99BF" w14:textId="57CB67F8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EBD1711" w14:textId="74FB2B2A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ООО «ЦДП»</w:t>
            </w:r>
          </w:p>
        </w:tc>
        <w:tc>
          <w:tcPr>
            <w:tcW w:w="2268" w:type="dxa"/>
            <w:vAlign w:val="center"/>
          </w:tcPr>
          <w:p w14:paraId="472AC97B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4F805983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9F6CAAA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4D440A" w:rsidRPr="00A3677C" w14:paraId="16CA355A" w14:textId="77777777" w:rsidTr="00474232">
        <w:trPr>
          <w:trHeight w:val="600"/>
        </w:trPr>
        <w:tc>
          <w:tcPr>
            <w:tcW w:w="993" w:type="dxa"/>
            <w:vMerge/>
            <w:vAlign w:val="center"/>
          </w:tcPr>
          <w:p w14:paraId="5D638FA9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F8B1E23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0FF317" w14:textId="77777777" w:rsidR="004D440A" w:rsidRPr="00A3677C" w:rsidRDefault="004D440A" w:rsidP="00A36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9ED930C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A2EF719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4D440A" w:rsidRPr="00A3677C" w14:paraId="4A4EBB46" w14:textId="77777777" w:rsidTr="00474232">
        <w:trPr>
          <w:trHeight w:val="600"/>
        </w:trPr>
        <w:tc>
          <w:tcPr>
            <w:tcW w:w="993" w:type="dxa"/>
            <w:vMerge/>
            <w:vAlign w:val="center"/>
          </w:tcPr>
          <w:p w14:paraId="666D8B2B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380E9C8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956C7B" w14:textId="77777777" w:rsidR="004D440A" w:rsidRPr="00A3677C" w:rsidRDefault="004D440A" w:rsidP="00A36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66F87D2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FBA54AA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4D440A" w:rsidRPr="00A3677C" w14:paraId="3F4ABF06" w14:textId="77777777" w:rsidTr="00474232">
        <w:trPr>
          <w:trHeight w:val="600"/>
        </w:trPr>
        <w:tc>
          <w:tcPr>
            <w:tcW w:w="993" w:type="dxa"/>
            <w:vMerge/>
            <w:vAlign w:val="center"/>
          </w:tcPr>
          <w:p w14:paraId="49734B24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7166E54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938CF1" w14:textId="77777777" w:rsidR="004D440A" w:rsidRPr="00A3677C" w:rsidRDefault="004D440A" w:rsidP="00A3677C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77C">
              <w:rPr>
                <w:sz w:val="24"/>
                <w:szCs w:val="24"/>
              </w:rPr>
              <w:t>Скрипников С.В.</w:t>
            </w:r>
          </w:p>
          <w:p w14:paraId="5192E020" w14:textId="77777777" w:rsidR="004D440A" w:rsidRPr="00A3677C" w:rsidRDefault="004D440A" w:rsidP="00A36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AAD1F05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E8BABCE" w14:textId="77777777" w:rsidR="004D440A" w:rsidRPr="00A3677C" w:rsidRDefault="004D440A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4D440A" w:rsidRPr="00A3677C" w14:paraId="3DD782E4" w14:textId="77777777" w:rsidTr="00474232">
        <w:trPr>
          <w:trHeight w:val="600"/>
        </w:trPr>
        <w:tc>
          <w:tcPr>
            <w:tcW w:w="9923" w:type="dxa"/>
            <w:gridSpan w:val="5"/>
            <w:vAlign w:val="center"/>
          </w:tcPr>
          <w:p w14:paraId="318F2412" w14:textId="7E6118B3" w:rsidR="004D440A" w:rsidRPr="00A3677C" w:rsidRDefault="004D440A" w:rsidP="00A3677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отказа в допуске участника </w:t>
            </w:r>
            <w:r w:rsid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процедуре 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 участию в </w:t>
            </w:r>
            <w:r w:rsid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процедуре 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указание норм </w:t>
            </w:r>
            <w:r w:rsidR="0094612B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Извещения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Положения о закупках, которым не соответствует участник </w:t>
            </w:r>
            <w:r w:rsidR="0094612B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(заявка этого участника):</w:t>
            </w:r>
          </w:p>
          <w:p w14:paraId="7503FD98" w14:textId="5BE1D8D9" w:rsidR="0059014D" w:rsidRPr="00A3677C" w:rsidRDefault="004D440A" w:rsidP="00A3677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«ЦДП» </w:t>
            </w: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 xml:space="preserve">не сшита надлежащим образом, не скреплена печатью и не подписана участником </w:t>
            </w:r>
            <w:r w:rsidR="0094612B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 xml:space="preserve">, что не соответствует требованиям части </w:t>
            </w:r>
            <w:r w:rsidR="0059014D" w:rsidRPr="00A3677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59014D" w:rsidRPr="00A3677C">
              <w:rPr>
                <w:rFonts w:ascii="Times New Roman" w:hAnsi="Times New Roman" w:cs="Times New Roman"/>
                <w:sz w:val="24"/>
                <w:szCs w:val="24"/>
              </w:rPr>
              <w:t>3.1 Извещения «…Все листы поданной в письменной форме заявки на участие в процедуре, все листы тома такой заявки должны быть прошиты и пронумерованы. Заявка на участие в запросе коммерческих предложений и том такой заявки должны содержать опись входящих в их состав документов, быть скреплены печатью участника процедуры (для юридического лица) и подписаны участником процедуры или лицом, уполномоченным участником процедуры. Соблюдение участником процедуры указанных требований означает, что информация и документы, входящие в состав заявки на участие в запросе коммерческих предложений и тома заявки на участие в запросе предложений, поданы от имени участника процедуры, и он несет ответственность за подлинность и достоверность этих информации и документов. При этом ненадлежащее исполнение участником процедуры требования о том, что все листы заявки и тома должны быть пронумерованы, не является основанием для отказа в допуске к участию в процедуре.</w:t>
            </w:r>
            <w:r w:rsidR="0059014D" w:rsidRPr="00A36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68A03589" w14:textId="16EDE716" w:rsidR="004D440A" w:rsidRPr="00A3677C" w:rsidRDefault="0059014D" w:rsidP="00A3677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i/>
                <w:color w:val="000000"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Ненадлежащее исполнение участником процедуры требований о наличии вшитой описи, прошивке листов тома заявки на участие в процедуре и предоставлении вышеуказанных документов в составе заявки на участие в процедуре </w:t>
            </w:r>
            <w:r w:rsidRPr="00A367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является основанием для отказа в допуске к участию в процедуре такого участника</w:t>
            </w:r>
            <w:r w:rsidR="004D440A" w:rsidRPr="00A36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14:paraId="6DD1061D" w14:textId="77777777" w:rsidR="0059014D" w:rsidRPr="00A3677C" w:rsidRDefault="004D440A" w:rsidP="00A3677C">
            <w:pPr>
              <w:pStyle w:val="2"/>
              <w:keepNext w:val="0"/>
              <w:tabs>
                <w:tab w:val="num" w:pos="-142"/>
                <w:tab w:val="num" w:pos="1134"/>
              </w:tabs>
              <w:suppressAutoHyphens/>
              <w:spacing w:before="120" w:after="120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A3677C">
              <w:rPr>
                <w:sz w:val="24"/>
                <w:szCs w:val="24"/>
              </w:rPr>
              <w:t xml:space="preserve">Согласно пункта 1.3.1 Закупочной документации </w:t>
            </w:r>
            <w:r w:rsidRPr="00A3677C">
              <w:rPr>
                <w:i/>
                <w:sz w:val="24"/>
                <w:szCs w:val="24"/>
              </w:rPr>
              <w:t>«</w:t>
            </w:r>
            <w:bookmarkStart w:id="1" w:name="_Ref166264288"/>
            <w:bookmarkStart w:id="2" w:name="_Toc235857911"/>
            <w:bookmarkStart w:id="3" w:name="_Toc235858341"/>
            <w:bookmarkStart w:id="4" w:name="_Toc287458768"/>
            <w:bookmarkStart w:id="5" w:name="_Toc366896120"/>
            <w:bookmarkStart w:id="6" w:name="_Toc275078163"/>
            <w:r w:rsidR="0059014D" w:rsidRPr="00A3677C">
              <w:rPr>
                <w:webHidden/>
                <w:sz w:val="24"/>
                <w:szCs w:val="24"/>
                <w:lang w:val="ru-RU"/>
              </w:rPr>
              <w:t xml:space="preserve">Отстранение от участия в </w:t>
            </w:r>
            <w:bookmarkEnd w:id="1"/>
            <w:bookmarkEnd w:id="2"/>
            <w:bookmarkEnd w:id="3"/>
            <w:bookmarkEnd w:id="4"/>
            <w:bookmarkEnd w:id="5"/>
            <w:bookmarkEnd w:id="6"/>
            <w:r w:rsidR="0059014D" w:rsidRPr="00A3677C">
              <w:rPr>
                <w:webHidden/>
                <w:sz w:val="24"/>
                <w:szCs w:val="24"/>
                <w:lang w:val="ru-RU"/>
              </w:rPr>
              <w:t>предквалификации.</w:t>
            </w:r>
          </w:p>
          <w:p w14:paraId="06E4895D" w14:textId="77777777" w:rsidR="0059014D" w:rsidRPr="00A3677C" w:rsidRDefault="0059014D" w:rsidP="00A3677C">
            <w:pPr>
              <w:pStyle w:val="a7"/>
              <w:tabs>
                <w:tab w:val="num" w:pos="1134"/>
              </w:tabs>
              <w:spacing w:before="12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367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3677C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Решение об отказе во включении участника Процедуры в перечень квалифицированных участников процедуры принимается</w:t>
            </w:r>
            <w:r w:rsidRPr="00A36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следующим основаниям</w:t>
            </w:r>
            <w:r w:rsidRPr="00A3677C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:</w:t>
            </w:r>
          </w:p>
          <w:p w14:paraId="08766DF6" w14:textId="77777777" w:rsidR="0059014D" w:rsidRPr="00A3677C" w:rsidRDefault="0059014D" w:rsidP="00A3677C">
            <w:pPr>
              <w:pStyle w:val="a7"/>
              <w:numPr>
                <w:ilvl w:val="0"/>
                <w:numId w:val="28"/>
              </w:numPr>
              <w:tabs>
                <w:tab w:val="num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A3677C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участник Процедуры не соответствует требованиям, установленным Извещением;</w:t>
            </w:r>
          </w:p>
          <w:p w14:paraId="42651A2F" w14:textId="77777777" w:rsidR="0059014D" w:rsidRPr="00A3677C" w:rsidRDefault="0059014D" w:rsidP="00A3677C">
            <w:pPr>
              <w:pStyle w:val="a7"/>
              <w:numPr>
                <w:ilvl w:val="0"/>
                <w:numId w:val="28"/>
              </w:numPr>
              <w:tabs>
                <w:tab w:val="num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A3677C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документы, предусмотренные Извещением о предварительном квалификационном отборе, представлены не в полном объеме или представлены ложные сведения;</w:t>
            </w:r>
          </w:p>
          <w:p w14:paraId="3BAA502C" w14:textId="77777777" w:rsidR="0059014D" w:rsidRPr="00A3677C" w:rsidRDefault="0059014D" w:rsidP="00A3677C">
            <w:pPr>
              <w:pStyle w:val="a7"/>
              <w:numPr>
                <w:ilvl w:val="0"/>
                <w:numId w:val="28"/>
              </w:numPr>
              <w:tabs>
                <w:tab w:val="num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A3677C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заявка на участие в предварительном отборе не соответствует требованиям, установленным извещением о проведении предварительного отбора;</w:t>
            </w:r>
          </w:p>
          <w:p w14:paraId="0FD26C52" w14:textId="77777777" w:rsidR="0059014D" w:rsidRPr="00A3677C" w:rsidRDefault="0059014D" w:rsidP="00A3677C">
            <w:pPr>
              <w:pStyle w:val="a7"/>
              <w:numPr>
                <w:ilvl w:val="0"/>
                <w:numId w:val="28"/>
              </w:numPr>
              <w:tabs>
                <w:tab w:val="num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A3677C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участник процедуры был исключен из перечня квалифицированных участников процедуры, который составлен по результатам предварительного отбора, предшествующего проводимому предварительному отбору.</w:t>
            </w:r>
          </w:p>
          <w:p w14:paraId="7F4623B5" w14:textId="4E4E3B34" w:rsidR="004D440A" w:rsidRPr="00A3677C" w:rsidRDefault="0059014D" w:rsidP="00A3677C">
            <w:pPr>
              <w:pStyle w:val="a7"/>
              <w:numPr>
                <w:ilvl w:val="0"/>
                <w:numId w:val="28"/>
              </w:numPr>
              <w:tabs>
                <w:tab w:val="num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A3677C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Заявка участника в ходе оценки процедуры набрала менее 70 баллов</w:t>
            </w:r>
            <w:r w:rsidR="004D440A" w:rsidRPr="00A3677C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14:paraId="40D4C6B2" w14:textId="416E41A6" w:rsidR="004D440A" w:rsidRPr="00A3677C" w:rsidRDefault="004D440A" w:rsidP="00A3677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</w:t>
            </w:r>
            <w:r w:rsidR="00A3677C"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процедуры</w:t>
            </w:r>
            <w:r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«ЦДП»  </w:t>
            </w:r>
            <w:r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</w:t>
            </w:r>
            <w:r w:rsidR="00A3677C"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Извещения</w:t>
            </w:r>
            <w:r w:rsidR="0059014D"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что согласно части 3.1.2 статьи 3.1 и п. «с»</w:t>
            </w:r>
            <w:r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части 1.3</w:t>
            </w:r>
            <w:r w:rsidR="00A3677C"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</w:t>
            </w:r>
            <w:r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части 1 </w:t>
            </w:r>
            <w:r w:rsidR="00A3677C"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Извещения</w:t>
            </w:r>
            <w:r w:rsidRPr="00A367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, 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является основанием для </w:t>
            </w:r>
            <w:r w:rsidR="00A3677C"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отстранения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</w:t>
            </w:r>
            <w:r w:rsidR="00A3677C"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участия в </w:t>
            </w:r>
            <w:r w:rsidR="00A3677C"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процедуре</w:t>
            </w:r>
            <w:r w:rsidRPr="00A367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BB6356A" w14:textId="0CCAD36B" w:rsidR="00474232" w:rsidRPr="004D440A" w:rsidRDefault="00474232" w:rsidP="00474232">
      <w:pPr>
        <w:pStyle w:val="ConsPlusNormal"/>
        <w:widowControl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40A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F82AA0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>
        <w:rPr>
          <w:rFonts w:ascii="Times New Roman" w:hAnsi="Times New Roman" w:cs="Times New Roman"/>
          <w:b/>
          <w:bCs/>
          <w:sz w:val="24"/>
          <w:szCs w:val="24"/>
        </w:rPr>
        <w:t>Инсайдерс</w:t>
      </w:r>
      <w:r w:rsidRPr="00F82AA0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40A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</w:t>
      </w:r>
      <w:r w:rsidR="0094612B">
        <w:rPr>
          <w:rFonts w:ascii="Times New Roman" w:hAnsi="Times New Roman" w:cs="Times New Roman"/>
          <w:sz w:val="24"/>
          <w:szCs w:val="24"/>
        </w:rPr>
        <w:t>процедуре</w:t>
      </w:r>
      <w:r w:rsidRPr="004D440A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474232" w:rsidRPr="000842B0" w14:paraId="2C718B05" w14:textId="77777777" w:rsidTr="00474232">
        <w:trPr>
          <w:trHeight w:val="600"/>
        </w:trPr>
        <w:tc>
          <w:tcPr>
            <w:tcW w:w="993" w:type="dxa"/>
            <w:vAlign w:val="center"/>
          </w:tcPr>
          <w:p w14:paraId="582BFB3F" w14:textId="77777777" w:rsidR="00474232" w:rsidRPr="000842B0" w:rsidRDefault="00474232" w:rsidP="00A36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2A5294A0" w14:textId="77777777" w:rsidR="00474232" w:rsidRPr="000842B0" w:rsidRDefault="00474232" w:rsidP="00A36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3D1C97D1" w14:textId="77777777" w:rsidR="00474232" w:rsidRPr="000842B0" w:rsidRDefault="00474232" w:rsidP="00A36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0CF8F0AA" w14:textId="77777777" w:rsidR="00474232" w:rsidRPr="000842B0" w:rsidRDefault="00474232" w:rsidP="00A36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45356507" w14:textId="77777777" w:rsidR="00474232" w:rsidRPr="000842B0" w:rsidRDefault="00474232" w:rsidP="00A367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474232" w:rsidRPr="000842B0" w14:paraId="37749755" w14:textId="77777777" w:rsidTr="00474232">
        <w:trPr>
          <w:trHeight w:val="600"/>
        </w:trPr>
        <w:tc>
          <w:tcPr>
            <w:tcW w:w="993" w:type="dxa"/>
            <w:vMerge w:val="restart"/>
            <w:vAlign w:val="center"/>
          </w:tcPr>
          <w:p w14:paraId="1AEF119D" w14:textId="1DA99791" w:rsidR="00474232" w:rsidRPr="000842B0" w:rsidRDefault="006C3440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608382DC" w14:textId="3266C728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Инсайдерс</w:t>
            </w:r>
            <w:r w:rsidRPr="00F8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30400F0F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248E83D3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A63F32C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74232" w:rsidRPr="000842B0" w14:paraId="2CC7FFCF" w14:textId="77777777" w:rsidTr="00474232">
        <w:trPr>
          <w:trHeight w:val="600"/>
        </w:trPr>
        <w:tc>
          <w:tcPr>
            <w:tcW w:w="993" w:type="dxa"/>
            <w:vMerge/>
            <w:vAlign w:val="center"/>
          </w:tcPr>
          <w:p w14:paraId="0EDE6223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4678C6B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382A516" w14:textId="77777777" w:rsidR="00474232" w:rsidRPr="000842B0" w:rsidRDefault="00474232" w:rsidP="00A36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6040A05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3401312B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74232" w:rsidRPr="000842B0" w14:paraId="2EE618B2" w14:textId="77777777" w:rsidTr="00474232">
        <w:trPr>
          <w:trHeight w:val="600"/>
        </w:trPr>
        <w:tc>
          <w:tcPr>
            <w:tcW w:w="993" w:type="dxa"/>
            <w:vMerge/>
            <w:vAlign w:val="center"/>
          </w:tcPr>
          <w:p w14:paraId="0FAD8317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E8AC97F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D60D331" w14:textId="77777777" w:rsidR="00474232" w:rsidRPr="000842B0" w:rsidRDefault="00474232" w:rsidP="00A36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0692F8A3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F59462D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74232" w:rsidRPr="000842B0" w14:paraId="546A1198" w14:textId="77777777" w:rsidTr="00474232">
        <w:trPr>
          <w:trHeight w:val="600"/>
        </w:trPr>
        <w:tc>
          <w:tcPr>
            <w:tcW w:w="993" w:type="dxa"/>
            <w:vMerge/>
            <w:vAlign w:val="center"/>
          </w:tcPr>
          <w:p w14:paraId="4C4E312A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EC1038D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DB23C9E" w14:textId="77777777" w:rsidR="00474232" w:rsidRPr="000842B0" w:rsidRDefault="00474232" w:rsidP="00A3677C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Скрипников С.В.</w:t>
            </w:r>
          </w:p>
          <w:p w14:paraId="39CC781A" w14:textId="77777777" w:rsidR="00474232" w:rsidRPr="000842B0" w:rsidRDefault="00474232" w:rsidP="00A36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74285D47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B8F52D8" w14:textId="77777777" w:rsidR="00474232" w:rsidRPr="000842B0" w:rsidRDefault="00474232" w:rsidP="00A367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74232" w:rsidRPr="0094612B" w14:paraId="3122277E" w14:textId="77777777" w:rsidTr="00474232">
        <w:trPr>
          <w:trHeight w:val="600"/>
        </w:trPr>
        <w:tc>
          <w:tcPr>
            <w:tcW w:w="9923" w:type="dxa"/>
            <w:gridSpan w:val="5"/>
            <w:vAlign w:val="center"/>
          </w:tcPr>
          <w:p w14:paraId="2B0CF65E" w14:textId="77777777" w:rsidR="0094612B" w:rsidRPr="0094612B" w:rsidRDefault="0094612B" w:rsidP="0094612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процедуре и к участию в процедуре и указание норм Извещения и Положения о закупках, которым не соответствует участник процедуры (заявка этого участника):</w:t>
            </w:r>
          </w:p>
          <w:p w14:paraId="53599978" w14:textId="04F2F25F" w:rsidR="00474232" w:rsidRPr="0094612B" w:rsidRDefault="00474232" w:rsidP="00A3677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94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«Инсайдерс»</w:t>
            </w:r>
            <w:r w:rsidR="003C146F" w:rsidRPr="0094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6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подана от юридического лица </w:t>
            </w:r>
            <w:r w:rsidR="003C146F" w:rsidRPr="0094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«Инсайдерс Инк</w:t>
            </w:r>
            <w:r w:rsidR="003C146F" w:rsidRPr="00946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(полное наименование) </w:t>
            </w:r>
            <w:r w:rsidR="003C146F" w:rsidRPr="0094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612B">
              <w:rPr>
                <w:rFonts w:ascii="Times New Roman" w:hAnsi="Times New Roman" w:cs="Times New Roman"/>
                <w:bCs/>
                <w:sz w:val="24"/>
                <w:szCs w:val="24"/>
              </w:rPr>
              <w:t>с регистрационным номером ОГРН 1107746878304, зарегистрированного 27.10.2010.</w:t>
            </w:r>
            <w:r w:rsidR="003C146F" w:rsidRPr="00946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 документы, подтверждающие квалификационный опыт участника процедуры, представлены на ООО «Инсайдерс» (полное наименование), зарегистрированное 11.01.2001 года за номером ОГРН 1027739715717. Таким образом, участник </w:t>
            </w:r>
            <w:r w:rsidRPr="00946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146F" w:rsidRPr="00946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процедуры предоставил в составе заявки недостоверные сведения в целях ввести в заблуждение Комиссию по закупкам, с целью продемонстрировать наличие опыта при отсутствии такового. </w:t>
            </w:r>
          </w:p>
          <w:p w14:paraId="07C881C9" w14:textId="40680605" w:rsidR="003C146F" w:rsidRPr="0094612B" w:rsidRDefault="003C146F" w:rsidP="00A3677C">
            <w:pPr>
              <w:pStyle w:val="ConsPlusNormal"/>
              <w:widowControl/>
              <w:tabs>
                <w:tab w:val="left" w:pos="1134"/>
              </w:tabs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Согласно части 9.6 статьи 9 Положения о закупках «Отстранение участника закупки от участия в Определении поставщика или отказ от заключения договора с победителем Определения поставщика осуществляется в любой момент до заключения договора, если Заказчик или Комиссия по закупкам обнаружит, что Участник закупки не соответствует требованиям, указанным в части 9.1 настоящей статьи, или предоставил недостоверную информацию в отношении своего соответствия указанным требованиям»</w:t>
            </w:r>
          </w:p>
          <w:p w14:paraId="2F616D0E" w14:textId="7264F238" w:rsidR="00474232" w:rsidRPr="0094612B" w:rsidRDefault="00474232" w:rsidP="00A3677C">
            <w:pPr>
              <w:tabs>
                <w:tab w:val="left" w:pos="923"/>
                <w:tab w:val="left" w:pos="1134"/>
                <w:tab w:val="left" w:pos="1418"/>
              </w:tabs>
              <w:spacing w:before="120" w:line="240" w:lineRule="auto"/>
              <w:ind w:firstLine="497"/>
              <w:jc w:val="both"/>
              <w:rPr>
                <w:rFonts w:ascii="Times New Roman" w:hAnsi="Times New Roman" w:cs="Times New Roman"/>
                <w:i/>
                <w:webHidden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 1.3.1 </w:t>
            </w:r>
            <w:r w:rsidR="00A3677C" w:rsidRPr="0094612B">
              <w:rPr>
                <w:rFonts w:ascii="Times New Roman" w:hAnsi="Times New Roman" w:cs="Times New Roman"/>
                <w:sz w:val="24"/>
                <w:szCs w:val="24"/>
              </w:rPr>
              <w:t>статьи 1.3 Извещения</w:t>
            </w: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1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3677C" w:rsidRPr="0094612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Решение об отказе во включении участника Процедуры в перечень квалифицированных участников процедуры принимается</w:t>
            </w:r>
            <w:r w:rsidR="00A3677C" w:rsidRPr="009461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B4D2155" w14:textId="77777777" w:rsidR="00A3677C" w:rsidRPr="0094612B" w:rsidRDefault="00A3677C" w:rsidP="00A3677C">
            <w:pPr>
              <w:tabs>
                <w:tab w:val="left" w:pos="1418"/>
              </w:tabs>
              <w:spacing w:before="120" w:line="240" w:lineRule="auto"/>
              <w:ind w:firstLine="49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461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“b</w:t>
            </w:r>
            <w:r w:rsidRPr="00946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94612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документы, предусмотренные Извещением о предварительном квалификационном отборе, представлены не в полном объеме или представлены ложные сведения;</w:t>
            </w:r>
          </w:p>
          <w:p w14:paraId="6D751C3A" w14:textId="490496F1" w:rsidR="00A3677C" w:rsidRPr="0094612B" w:rsidRDefault="00A3677C" w:rsidP="00A3677C">
            <w:pPr>
              <w:tabs>
                <w:tab w:val="left" w:pos="1418"/>
              </w:tabs>
              <w:spacing w:before="12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для отстранения участника Процедуры от участия в процедуре на любом этапе ее проведения:</w:t>
            </w:r>
          </w:p>
          <w:p w14:paraId="7F8E5C1D" w14:textId="79A7C182" w:rsidR="0059014D" w:rsidRPr="0094612B" w:rsidRDefault="0059014D" w:rsidP="00A3677C">
            <w:pPr>
              <w:numPr>
                <w:ilvl w:val="0"/>
                <w:numId w:val="25"/>
              </w:numPr>
              <w:tabs>
                <w:tab w:val="left" w:pos="923"/>
                <w:tab w:val="left" w:pos="1134"/>
                <w:tab w:val="left" w:pos="1418"/>
              </w:tabs>
              <w:spacing w:before="120" w:after="0" w:line="240" w:lineRule="auto"/>
              <w:ind w:left="0"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установление недостоверности сведений, содержащихся в документах, представленных участником Процедуры в соответствии с Извещением</w:t>
            </w:r>
            <w:r w:rsidR="00A3677C" w:rsidRPr="00946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0C4E3C" w14:textId="5C1D70FB" w:rsidR="00474232" w:rsidRPr="0094612B" w:rsidRDefault="00474232" w:rsidP="00A3677C">
            <w:pPr>
              <w:tabs>
                <w:tab w:val="left" w:pos="923"/>
                <w:tab w:val="left" w:pos="1134"/>
                <w:tab w:val="left" w:pos="1418"/>
              </w:tabs>
              <w:spacing w:before="120" w:after="0" w:line="240" w:lineRule="auto"/>
              <w:ind w:firstLine="4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</w:t>
            </w:r>
            <w:r w:rsidR="003C146F"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процедуры</w:t>
            </w:r>
            <w:r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3C146F" w:rsidRPr="0094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«Инсайдерс»  </w:t>
            </w:r>
            <w:r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</w:t>
            </w:r>
            <w:r w:rsidR="0059014D"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пп. 1</w:t>
            </w:r>
            <w:r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3677C"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 пп. «</w:t>
            </w:r>
            <w:r w:rsidR="00A3677C"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b</w:t>
            </w:r>
            <w:r w:rsidR="00A3677C"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» </w:t>
            </w:r>
            <w:r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п. 1.3.1. части 1.3 статьи 1, части 1 </w:t>
            </w:r>
            <w:r w:rsidR="0059014D"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Извещения</w:t>
            </w:r>
            <w:r w:rsidR="00A3677C" w:rsidRPr="009461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и </w:t>
            </w: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</w:t>
            </w:r>
            <w:r w:rsidR="0059014D"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9.6 статьи 9</w:t>
            </w: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Положения о закупках </w:t>
            </w:r>
            <w:r w:rsidR="0094612B"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основанием для от</w:t>
            </w:r>
            <w:r w:rsidR="0059014D"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странения участника процедуры от </w:t>
            </w: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 в </w:t>
            </w:r>
            <w:r w:rsidR="003C146F"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процедуре</w:t>
            </w: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2D226CA" w14:textId="09E23A67" w:rsidR="002A40FD" w:rsidRPr="0094612B" w:rsidRDefault="002A40FD" w:rsidP="00A3677C">
      <w:pPr>
        <w:pStyle w:val="ConsPlusNormal"/>
        <w:widowControl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12B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94612B">
        <w:rPr>
          <w:rFonts w:ascii="Times New Roman" w:hAnsi="Times New Roman" w:cs="Times New Roman"/>
          <w:b/>
          <w:sz w:val="24"/>
          <w:szCs w:val="24"/>
        </w:rPr>
        <w:t>ООО «Френдс Ивентс»</w:t>
      </w:r>
      <w:r w:rsidRPr="0094612B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Извещения и признать </w:t>
      </w:r>
      <w:r w:rsidRPr="0094612B">
        <w:rPr>
          <w:rFonts w:ascii="Times New Roman" w:hAnsi="Times New Roman" w:cs="Times New Roman"/>
          <w:b/>
          <w:sz w:val="24"/>
          <w:szCs w:val="24"/>
        </w:rPr>
        <w:t xml:space="preserve">ООО «Френдс Ивентс» </w:t>
      </w:r>
      <w:r w:rsidRPr="0094612B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2A40FD" w:rsidRPr="0094612B" w14:paraId="3EDD80DF" w14:textId="77777777" w:rsidTr="009568BF">
        <w:trPr>
          <w:trHeight w:val="600"/>
        </w:trPr>
        <w:tc>
          <w:tcPr>
            <w:tcW w:w="851" w:type="dxa"/>
            <w:vAlign w:val="center"/>
          </w:tcPr>
          <w:p w14:paraId="7326DD2F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3500510E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68325F06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4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6F745A52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5DB9E044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A40FD" w:rsidRPr="0094612B" w14:paraId="1A620DDA" w14:textId="77777777" w:rsidTr="009568BF">
        <w:trPr>
          <w:trHeight w:val="600"/>
        </w:trPr>
        <w:tc>
          <w:tcPr>
            <w:tcW w:w="851" w:type="dxa"/>
            <w:vMerge w:val="restart"/>
            <w:vAlign w:val="center"/>
          </w:tcPr>
          <w:p w14:paraId="52A5C1A1" w14:textId="1896CC6B" w:rsidR="002A40FD" w:rsidRPr="0094612B" w:rsidRDefault="006C3440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14:paraId="3C02166E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ООО «Френдс Ивентс»</w:t>
            </w:r>
          </w:p>
        </w:tc>
        <w:tc>
          <w:tcPr>
            <w:tcW w:w="2126" w:type="dxa"/>
            <w:vAlign w:val="center"/>
          </w:tcPr>
          <w:p w14:paraId="372344BE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5F10EB23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7198DCF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4612B" w14:paraId="051B6C38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3EBA1AE5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4A68D99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92E839" w14:textId="77777777" w:rsidR="002A40FD" w:rsidRPr="0094612B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12E38AAE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3E4C02FD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4612B" w14:paraId="5576ABD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08135EB0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A243E35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7360E8" w14:textId="77777777" w:rsidR="002A40FD" w:rsidRPr="0094612B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64595C1A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32F37A6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4612B" w14:paraId="227BB1F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44ABAE26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944CD7C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8BD42E" w14:textId="77777777" w:rsidR="002A40FD" w:rsidRPr="0094612B" w:rsidRDefault="002A40FD" w:rsidP="00FC2A5C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4612B">
              <w:rPr>
                <w:sz w:val="24"/>
                <w:szCs w:val="24"/>
              </w:rPr>
              <w:t>Скрипников С.В.</w:t>
            </w:r>
          </w:p>
          <w:p w14:paraId="2257C327" w14:textId="77777777" w:rsidR="002A40FD" w:rsidRPr="0094612B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E66BDD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71C4B5B4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E6799C2" w14:textId="2B951D17" w:rsidR="002A40FD" w:rsidRPr="0094612B" w:rsidRDefault="002A40FD" w:rsidP="00A3677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612B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A3677C" w:rsidRPr="0094612B">
        <w:rPr>
          <w:rFonts w:ascii="Times New Roman" w:hAnsi="Times New Roman" w:cs="Times New Roman"/>
          <w:b/>
          <w:sz w:val="24"/>
          <w:szCs w:val="24"/>
        </w:rPr>
        <w:t>ООО «Агентство «Социальные Сети»</w:t>
      </w:r>
      <w:r w:rsidRPr="0094612B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Извещения и признать </w:t>
      </w:r>
      <w:r w:rsidR="00A3677C" w:rsidRPr="0094612B">
        <w:rPr>
          <w:rFonts w:ascii="Times New Roman" w:hAnsi="Times New Roman" w:cs="Times New Roman"/>
          <w:b/>
          <w:sz w:val="24"/>
          <w:szCs w:val="24"/>
        </w:rPr>
        <w:t>ООО «Агентство «Социальные Сети»</w:t>
      </w:r>
      <w:r w:rsidRPr="0094612B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2A40FD" w:rsidRPr="0094612B" w14:paraId="55E54453" w14:textId="77777777" w:rsidTr="009568BF">
        <w:trPr>
          <w:trHeight w:val="600"/>
        </w:trPr>
        <w:tc>
          <w:tcPr>
            <w:tcW w:w="851" w:type="dxa"/>
            <w:vAlign w:val="center"/>
          </w:tcPr>
          <w:p w14:paraId="6782B4CA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1C5E9967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742FCD18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4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68DC1943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5EC20FCE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A40FD" w:rsidRPr="0094612B" w14:paraId="7D3CCF07" w14:textId="77777777" w:rsidTr="009568BF">
        <w:trPr>
          <w:trHeight w:val="600"/>
        </w:trPr>
        <w:tc>
          <w:tcPr>
            <w:tcW w:w="851" w:type="dxa"/>
            <w:vMerge w:val="restart"/>
            <w:vAlign w:val="center"/>
          </w:tcPr>
          <w:p w14:paraId="577B12F8" w14:textId="0FFBB9EE" w:rsidR="002A40FD" w:rsidRPr="0094612B" w:rsidRDefault="006C3440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14:paraId="2793A6BC" w14:textId="482D05BB" w:rsidR="002A40FD" w:rsidRPr="0094612B" w:rsidRDefault="00A3677C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«Социальные Сети»</w:t>
            </w:r>
          </w:p>
        </w:tc>
        <w:tc>
          <w:tcPr>
            <w:tcW w:w="2126" w:type="dxa"/>
            <w:vAlign w:val="center"/>
          </w:tcPr>
          <w:p w14:paraId="667050B0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7DD45A55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69A6C62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4612B" w14:paraId="7E87C2BB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20DF412C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FD3F1C1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EE3880" w14:textId="77777777" w:rsidR="002A40FD" w:rsidRPr="0094612B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7DFA79F6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0D25CF20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4612B" w14:paraId="43492F13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39468468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1526903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939320" w14:textId="77777777" w:rsidR="002A40FD" w:rsidRPr="0094612B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057FEFD8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1820F44F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4612B" w14:paraId="446CF52D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699FC477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140FDE5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590CEA" w14:textId="77777777" w:rsidR="002A40FD" w:rsidRPr="0094612B" w:rsidRDefault="002A40FD" w:rsidP="00FC2A5C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4612B">
              <w:rPr>
                <w:sz w:val="24"/>
                <w:szCs w:val="24"/>
              </w:rPr>
              <w:t>Скрипников С.В.</w:t>
            </w:r>
          </w:p>
          <w:p w14:paraId="645134DD" w14:textId="77777777" w:rsidR="002A40FD" w:rsidRPr="0094612B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65E38B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1D71C7E" w14:textId="77777777" w:rsidR="002A40FD" w:rsidRPr="0094612B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C468A55" w14:textId="00D75823" w:rsidR="00A3677C" w:rsidRPr="0094612B" w:rsidRDefault="006C3440" w:rsidP="006C344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12B">
        <w:rPr>
          <w:rFonts w:ascii="Times New Roman" w:hAnsi="Times New Roman" w:cs="Times New Roman"/>
          <w:sz w:val="24"/>
          <w:szCs w:val="24"/>
        </w:rPr>
        <w:t xml:space="preserve">5. </w:t>
      </w:r>
      <w:r w:rsidR="00A3677C" w:rsidRPr="0094612B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94612B">
        <w:rPr>
          <w:rFonts w:ascii="Times New Roman" w:hAnsi="Times New Roman" w:cs="Times New Roman"/>
          <w:b/>
          <w:sz w:val="24"/>
          <w:szCs w:val="24"/>
        </w:rPr>
        <w:t xml:space="preserve">ООО «Олнайтерс </w:t>
      </w:r>
      <w:r w:rsidR="0094612B" w:rsidRPr="0094612B">
        <w:rPr>
          <w:rFonts w:ascii="Times New Roman" w:hAnsi="Times New Roman" w:cs="Times New Roman"/>
          <w:b/>
          <w:sz w:val="24"/>
          <w:szCs w:val="24"/>
        </w:rPr>
        <w:t>Маркетинг</w:t>
      </w:r>
      <w:r w:rsidRPr="009461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3677C" w:rsidRPr="0094612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признать </w:t>
      </w:r>
      <w:r w:rsidRPr="0094612B">
        <w:rPr>
          <w:rFonts w:ascii="Times New Roman" w:hAnsi="Times New Roman" w:cs="Times New Roman"/>
          <w:b/>
          <w:sz w:val="24"/>
          <w:szCs w:val="24"/>
        </w:rPr>
        <w:t xml:space="preserve">ООО «Олнайтерс </w:t>
      </w:r>
      <w:r w:rsidR="0094612B" w:rsidRPr="0094612B">
        <w:rPr>
          <w:rFonts w:ascii="Times New Roman" w:hAnsi="Times New Roman" w:cs="Times New Roman"/>
          <w:b/>
          <w:sz w:val="24"/>
          <w:szCs w:val="24"/>
        </w:rPr>
        <w:t>Маркетинг</w:t>
      </w:r>
      <w:r w:rsidRPr="009461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3677C" w:rsidRPr="0094612B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A3677C" w:rsidRPr="0094612B" w14:paraId="5B151B98" w14:textId="77777777" w:rsidTr="00A3677C">
        <w:trPr>
          <w:trHeight w:val="600"/>
        </w:trPr>
        <w:tc>
          <w:tcPr>
            <w:tcW w:w="851" w:type="dxa"/>
            <w:vAlign w:val="center"/>
          </w:tcPr>
          <w:p w14:paraId="593592E1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77509DD2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6AC38A8E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4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6AA760CB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32394B93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A3677C" w:rsidRPr="0094612B" w14:paraId="15FCD0F1" w14:textId="77777777" w:rsidTr="00A3677C">
        <w:trPr>
          <w:trHeight w:val="600"/>
        </w:trPr>
        <w:tc>
          <w:tcPr>
            <w:tcW w:w="851" w:type="dxa"/>
            <w:vMerge w:val="restart"/>
            <w:vAlign w:val="center"/>
          </w:tcPr>
          <w:p w14:paraId="53D08436" w14:textId="147396BE" w:rsidR="00A3677C" w:rsidRPr="0094612B" w:rsidRDefault="006C3440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14:paraId="016CFE56" w14:textId="64C28BCE" w:rsidR="00A3677C" w:rsidRPr="0094612B" w:rsidRDefault="006C3440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«Олнайтерс </w:t>
            </w:r>
            <w:r w:rsidR="0094612B"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4D65E03D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58586A70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2F82DAB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3677C" w:rsidRPr="0094612B" w14:paraId="63893E19" w14:textId="77777777" w:rsidTr="00A3677C">
        <w:trPr>
          <w:trHeight w:val="600"/>
        </w:trPr>
        <w:tc>
          <w:tcPr>
            <w:tcW w:w="851" w:type="dxa"/>
            <w:vMerge/>
            <w:vAlign w:val="center"/>
          </w:tcPr>
          <w:p w14:paraId="1EE85C88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332A2F9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A314EE" w14:textId="77777777" w:rsidR="00A3677C" w:rsidRPr="0094612B" w:rsidRDefault="00A3677C" w:rsidP="00A3677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0366CC93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19C2DC47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3677C" w:rsidRPr="0094612B" w14:paraId="2D23DF54" w14:textId="77777777" w:rsidTr="00A3677C">
        <w:trPr>
          <w:trHeight w:val="600"/>
        </w:trPr>
        <w:tc>
          <w:tcPr>
            <w:tcW w:w="851" w:type="dxa"/>
            <w:vMerge/>
            <w:vAlign w:val="center"/>
          </w:tcPr>
          <w:p w14:paraId="232028AA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3C4C499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B6D5F5" w14:textId="77777777" w:rsidR="00A3677C" w:rsidRPr="0094612B" w:rsidRDefault="00A3677C" w:rsidP="00A3677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573AF091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0B2BDF58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3677C" w:rsidRPr="0094612B" w14:paraId="422E1710" w14:textId="77777777" w:rsidTr="00A3677C">
        <w:trPr>
          <w:trHeight w:val="600"/>
        </w:trPr>
        <w:tc>
          <w:tcPr>
            <w:tcW w:w="851" w:type="dxa"/>
            <w:vMerge/>
            <w:vAlign w:val="center"/>
          </w:tcPr>
          <w:p w14:paraId="543B615F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5135AC6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8E0890" w14:textId="77777777" w:rsidR="00A3677C" w:rsidRPr="0094612B" w:rsidRDefault="00A3677C" w:rsidP="00A3677C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4612B">
              <w:rPr>
                <w:sz w:val="24"/>
                <w:szCs w:val="24"/>
              </w:rPr>
              <w:t>Скрипников С.В.</w:t>
            </w:r>
          </w:p>
          <w:p w14:paraId="2DEB63B7" w14:textId="77777777" w:rsidR="00A3677C" w:rsidRPr="0094612B" w:rsidRDefault="00A3677C" w:rsidP="00A3677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5D306F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417DAB5" w14:textId="77777777" w:rsidR="00A3677C" w:rsidRPr="0094612B" w:rsidRDefault="00A3677C" w:rsidP="00A3677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89C1E5E" w14:textId="77777777" w:rsidR="002A40FD" w:rsidRPr="0094612B" w:rsidRDefault="002A40FD" w:rsidP="002A40FD">
      <w:pPr>
        <w:pStyle w:val="a7"/>
        <w:tabs>
          <w:tab w:val="left" w:pos="142"/>
          <w:tab w:val="left" w:pos="1134"/>
        </w:tabs>
        <w:spacing w:before="12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D31FB84" w14:textId="16590092" w:rsidR="00752B06" w:rsidRPr="0094612B" w:rsidRDefault="00752B06" w:rsidP="00752B0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12B">
        <w:rPr>
          <w:rFonts w:ascii="Times New Roman" w:hAnsi="Times New Roman" w:cs="Times New Roman"/>
          <w:sz w:val="24"/>
          <w:szCs w:val="24"/>
        </w:rPr>
        <w:t xml:space="preserve">6. Заявку </w:t>
      </w:r>
      <w:r w:rsidRPr="0094612B">
        <w:rPr>
          <w:rFonts w:ascii="Times New Roman" w:hAnsi="Times New Roman" w:cs="Times New Roman"/>
          <w:b/>
          <w:sz w:val="24"/>
          <w:szCs w:val="24"/>
        </w:rPr>
        <w:t xml:space="preserve">ООО «СПН Коммс» </w:t>
      </w:r>
      <w:r w:rsidRPr="0094612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признать </w:t>
      </w:r>
      <w:r w:rsidRPr="0094612B">
        <w:rPr>
          <w:rFonts w:ascii="Times New Roman" w:hAnsi="Times New Roman" w:cs="Times New Roman"/>
          <w:b/>
          <w:sz w:val="24"/>
          <w:szCs w:val="24"/>
        </w:rPr>
        <w:t xml:space="preserve">ООО «СПН Коммс» </w:t>
      </w:r>
      <w:r w:rsidRPr="0094612B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752B06" w:rsidRPr="0094612B" w14:paraId="22429D14" w14:textId="77777777" w:rsidTr="00DA3DFE">
        <w:trPr>
          <w:trHeight w:val="600"/>
        </w:trPr>
        <w:tc>
          <w:tcPr>
            <w:tcW w:w="851" w:type="dxa"/>
            <w:vAlign w:val="center"/>
          </w:tcPr>
          <w:p w14:paraId="618AE180" w14:textId="77777777" w:rsidR="00752B06" w:rsidRPr="0094612B" w:rsidRDefault="00752B06" w:rsidP="00752B06">
            <w:pPr>
              <w:pStyle w:val="ConsPlusNormal"/>
              <w:widowControl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27F9D094" w14:textId="77777777" w:rsidR="00752B06" w:rsidRPr="0094612B" w:rsidRDefault="00752B06" w:rsidP="00752B06">
            <w:pPr>
              <w:pStyle w:val="ConsPlusNormal"/>
              <w:widowControl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35C398E1" w14:textId="77777777" w:rsidR="00752B06" w:rsidRPr="0094612B" w:rsidRDefault="00752B06" w:rsidP="001A6F33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4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2BCCC4C9" w14:textId="77777777" w:rsidR="00752B06" w:rsidRPr="0094612B" w:rsidRDefault="00752B06" w:rsidP="001A6F33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69A60CB6" w14:textId="77777777" w:rsidR="00752B06" w:rsidRPr="0094612B" w:rsidRDefault="00752B06" w:rsidP="001A6F33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52B06" w:rsidRPr="0094612B" w14:paraId="1EB7B18A" w14:textId="77777777" w:rsidTr="00DA3DFE">
        <w:trPr>
          <w:trHeight w:val="600"/>
        </w:trPr>
        <w:tc>
          <w:tcPr>
            <w:tcW w:w="851" w:type="dxa"/>
            <w:vMerge w:val="restart"/>
            <w:vAlign w:val="center"/>
          </w:tcPr>
          <w:p w14:paraId="7090BE83" w14:textId="2841BF1D" w:rsidR="00752B06" w:rsidRPr="0094612B" w:rsidRDefault="00752B06" w:rsidP="00752B06">
            <w:pPr>
              <w:pStyle w:val="ConsPlusNormal"/>
              <w:widowControl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14:paraId="7BE994E8" w14:textId="18AD4C0E" w:rsidR="00752B06" w:rsidRPr="0094612B" w:rsidRDefault="00752B06" w:rsidP="00752B06">
            <w:pPr>
              <w:pStyle w:val="ConsPlusNormal"/>
              <w:widowControl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b/>
                <w:sz w:val="24"/>
                <w:szCs w:val="24"/>
              </w:rPr>
              <w:t>ООО «СПН Коммс»</w:t>
            </w:r>
          </w:p>
        </w:tc>
        <w:tc>
          <w:tcPr>
            <w:tcW w:w="2126" w:type="dxa"/>
            <w:vAlign w:val="center"/>
          </w:tcPr>
          <w:p w14:paraId="4B028915" w14:textId="77777777" w:rsidR="00752B06" w:rsidRPr="0094612B" w:rsidRDefault="00752B06" w:rsidP="001A6F33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3B51CDC2" w14:textId="77777777" w:rsidR="00752B06" w:rsidRPr="0094612B" w:rsidRDefault="00752B06" w:rsidP="001A6F33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4C4F713B" w14:textId="77777777" w:rsidR="00752B06" w:rsidRPr="0094612B" w:rsidRDefault="00752B06" w:rsidP="001A6F33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2B06" w:rsidRPr="009568BF" w14:paraId="5CF3E2D3" w14:textId="77777777" w:rsidTr="00DA3DFE">
        <w:trPr>
          <w:trHeight w:val="600"/>
        </w:trPr>
        <w:tc>
          <w:tcPr>
            <w:tcW w:w="851" w:type="dxa"/>
            <w:vMerge/>
            <w:vAlign w:val="center"/>
          </w:tcPr>
          <w:p w14:paraId="0822AB17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50A4E6C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6F607F" w14:textId="77777777" w:rsidR="00752B06" w:rsidRPr="009568BF" w:rsidRDefault="00752B06" w:rsidP="00DA3DFE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36D5CB1E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42DE15B7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2B06" w:rsidRPr="009568BF" w14:paraId="185715DC" w14:textId="77777777" w:rsidTr="00DA3DFE">
        <w:trPr>
          <w:trHeight w:val="600"/>
        </w:trPr>
        <w:tc>
          <w:tcPr>
            <w:tcW w:w="851" w:type="dxa"/>
            <w:vMerge/>
            <w:vAlign w:val="center"/>
          </w:tcPr>
          <w:p w14:paraId="13518E39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AC9E4D1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5C0409" w14:textId="77777777" w:rsidR="00752B06" w:rsidRPr="009568BF" w:rsidRDefault="00752B06" w:rsidP="00DA3DFE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5B13AC81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1CCDA59C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2B06" w:rsidRPr="009568BF" w14:paraId="3F51F560" w14:textId="77777777" w:rsidTr="00DA3DFE">
        <w:trPr>
          <w:trHeight w:val="600"/>
        </w:trPr>
        <w:tc>
          <w:tcPr>
            <w:tcW w:w="851" w:type="dxa"/>
            <w:vMerge/>
            <w:vAlign w:val="center"/>
          </w:tcPr>
          <w:p w14:paraId="5FEE57A3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5A4E354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B1E28F" w14:textId="77777777" w:rsidR="00752B06" w:rsidRPr="009568BF" w:rsidRDefault="00752B06" w:rsidP="00DA3DFE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68BF">
              <w:rPr>
                <w:sz w:val="24"/>
                <w:szCs w:val="24"/>
              </w:rPr>
              <w:t>Скрипников С.В.</w:t>
            </w:r>
          </w:p>
          <w:p w14:paraId="104D6803" w14:textId="77777777" w:rsidR="00752B06" w:rsidRPr="009568BF" w:rsidRDefault="00752B06" w:rsidP="00DA3DFE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9BE953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6C52CB66" w14:textId="77777777" w:rsidR="00752B06" w:rsidRPr="009568BF" w:rsidRDefault="00752B06" w:rsidP="00DA3DFE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63F3E50" w14:textId="77777777" w:rsidR="00752B06" w:rsidRPr="009568BF" w:rsidRDefault="00752B06" w:rsidP="00752B06">
      <w:pPr>
        <w:pStyle w:val="a7"/>
        <w:tabs>
          <w:tab w:val="left" w:pos="142"/>
          <w:tab w:val="left" w:pos="1134"/>
        </w:tabs>
        <w:spacing w:before="120" w:after="0"/>
        <w:ind w:left="567"/>
        <w:jc w:val="both"/>
        <w:rPr>
          <w:rFonts w:ascii="Times New Roman" w:hAnsi="Times New Roman" w:cs="Times New Roman"/>
        </w:rPr>
      </w:pPr>
    </w:p>
    <w:p w14:paraId="6DBE493F" w14:textId="77777777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  <w:sectPr w:rsidR="00E2678C" w:rsidRPr="00BD74C2" w:rsidSect="004E3426">
          <w:footerReference w:type="default" r:id="rId9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42AF583A" w14:textId="4D473663" w:rsidR="00E93204" w:rsidRPr="00BD74C2" w:rsidRDefault="00F129A3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8. </w:t>
      </w:r>
      <w:r w:rsidR="00E93204" w:rsidRPr="00BD74C2">
        <w:rPr>
          <w:b/>
          <w:u w:val="single"/>
          <w:lang w:val="ru-RU"/>
        </w:rPr>
        <w:t xml:space="preserve">Решение каждого члена </w:t>
      </w:r>
      <w:r w:rsidR="00B161CE" w:rsidRPr="00BD74C2">
        <w:rPr>
          <w:b/>
          <w:u w:val="single"/>
          <w:lang w:val="ru-RU"/>
        </w:rPr>
        <w:t>К</w:t>
      </w:r>
      <w:r w:rsidR="00E93204" w:rsidRPr="00BD74C2">
        <w:rPr>
          <w:b/>
          <w:u w:val="single"/>
          <w:lang w:val="ru-RU"/>
        </w:rPr>
        <w:t xml:space="preserve">омиссии о присвоении заявкам на участие в </w:t>
      </w:r>
      <w:r w:rsidR="0094612B">
        <w:rPr>
          <w:b/>
          <w:u w:val="single"/>
          <w:lang w:val="ru-RU"/>
        </w:rPr>
        <w:t>процедуре</w:t>
      </w:r>
      <w:r w:rsidR="00E93204" w:rsidRPr="00BD74C2">
        <w:rPr>
          <w:b/>
          <w:u w:val="single"/>
          <w:lang w:val="ru-RU"/>
        </w:rPr>
        <w:t xml:space="preserve"> значений (балов) </w:t>
      </w:r>
      <w:r w:rsidR="00E93204" w:rsidRPr="00BD74C2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BD74C2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BD74C2">
        <w:rPr>
          <w:b/>
          <w:u w:val="single"/>
          <w:lang w:val="ru-RU"/>
        </w:rPr>
        <w:t xml:space="preserve"> Таблица №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410"/>
        <w:gridCol w:w="1701"/>
        <w:gridCol w:w="1559"/>
        <w:gridCol w:w="1701"/>
        <w:gridCol w:w="1559"/>
      </w:tblGrid>
      <w:tr w:rsidR="006E4023" w:rsidRPr="00DA3DFE" w14:paraId="5E47A13D" w14:textId="77777777" w:rsidTr="00A256F6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6E4023" w:rsidRPr="00DA3DFE" w:rsidRDefault="006E4023" w:rsidP="00DA3DFE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DA3DFE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3AA53B82" w14:textId="0A915075" w:rsidR="006E4023" w:rsidRPr="00DA3DFE" w:rsidRDefault="006E4023" w:rsidP="00DA3DFE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DA3DFE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6C9707E7" w:rsidR="006E4023" w:rsidRPr="00DA3DFE" w:rsidRDefault="006E4023" w:rsidP="00DA3DFE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DA3DFE">
              <w:rPr>
                <w:rFonts w:cs="Times New Roman"/>
                <w:sz w:val="24"/>
                <w:szCs w:val="24"/>
                <w:lang w:val="ru-RU" w:eastAsia="ru-RU"/>
              </w:rPr>
              <w:t>Формула/ФИО членов Комиссии</w:t>
            </w:r>
          </w:p>
        </w:tc>
        <w:tc>
          <w:tcPr>
            <w:tcW w:w="1701" w:type="dxa"/>
            <w:vAlign w:val="center"/>
          </w:tcPr>
          <w:p w14:paraId="4DC82817" w14:textId="140C2EBA" w:rsidR="006E4023" w:rsidRPr="00DA3DFE" w:rsidRDefault="00DA3DFE" w:rsidP="00DA3DFE">
            <w:pPr>
              <w:pStyle w:val="af2"/>
              <w:rPr>
                <w:rFonts w:cs="Times New Roman"/>
                <w:noProof/>
                <w:sz w:val="24"/>
                <w:szCs w:val="24"/>
              </w:rPr>
            </w:pPr>
            <w:r w:rsidRPr="00DA3DFE">
              <w:rPr>
                <w:rFonts w:cs="Times New Roman"/>
                <w:sz w:val="24"/>
                <w:szCs w:val="24"/>
              </w:rPr>
              <w:t xml:space="preserve">ООО «Олнайтерс </w:t>
            </w:r>
            <w:r w:rsidR="0094612B">
              <w:rPr>
                <w:rFonts w:cs="Times New Roman"/>
                <w:sz w:val="24"/>
                <w:szCs w:val="24"/>
              </w:rPr>
              <w:t>Маркетинг</w:t>
            </w:r>
            <w:r w:rsidRPr="00DA3DF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7E3A2586" w14:textId="3D59409D" w:rsidR="006E4023" w:rsidRPr="00DA3DFE" w:rsidRDefault="00DA3DFE" w:rsidP="00DA3DFE">
            <w:pPr>
              <w:pStyle w:val="af2"/>
              <w:rPr>
                <w:rFonts w:cs="Times New Roman"/>
                <w:bCs/>
                <w:sz w:val="24"/>
                <w:szCs w:val="24"/>
              </w:rPr>
            </w:pPr>
            <w:r w:rsidRPr="00DA3DFE">
              <w:rPr>
                <w:rFonts w:cs="Times New Roman"/>
                <w:sz w:val="24"/>
                <w:szCs w:val="24"/>
              </w:rPr>
              <w:t>ООО «Френдс Ивентс»</w:t>
            </w:r>
          </w:p>
        </w:tc>
        <w:tc>
          <w:tcPr>
            <w:tcW w:w="1701" w:type="dxa"/>
            <w:vAlign w:val="center"/>
          </w:tcPr>
          <w:p w14:paraId="532B369C" w14:textId="0DEFD00A" w:rsidR="006E4023" w:rsidRPr="00DA3DFE" w:rsidRDefault="00DA3DFE" w:rsidP="00DA3DFE">
            <w:pPr>
              <w:pStyle w:val="af2"/>
              <w:rPr>
                <w:rFonts w:cs="Times New Roman"/>
                <w:bCs/>
                <w:sz w:val="24"/>
                <w:szCs w:val="24"/>
              </w:rPr>
            </w:pPr>
            <w:r w:rsidRPr="00DA3DFE">
              <w:rPr>
                <w:rFonts w:cs="Times New Roman"/>
                <w:sz w:val="24"/>
                <w:szCs w:val="24"/>
              </w:rPr>
              <w:t>ООО «Агентство «Социальные Сети»</w:t>
            </w:r>
          </w:p>
        </w:tc>
        <w:tc>
          <w:tcPr>
            <w:tcW w:w="1559" w:type="dxa"/>
            <w:vAlign w:val="center"/>
          </w:tcPr>
          <w:p w14:paraId="12B6E62E" w14:textId="4940F317" w:rsidR="006E4023" w:rsidRPr="00DA3DFE" w:rsidRDefault="00DA3DFE" w:rsidP="00DA3DFE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DA3DFE">
              <w:rPr>
                <w:rFonts w:cs="Times New Roman"/>
                <w:sz w:val="24"/>
                <w:szCs w:val="24"/>
              </w:rPr>
              <w:t>ООО «СПН Коммс»</w:t>
            </w:r>
          </w:p>
        </w:tc>
      </w:tr>
      <w:tr w:rsidR="006E4023" w:rsidRPr="00FC2A5C" w14:paraId="54AF1977" w14:textId="77777777" w:rsidTr="00A256F6">
        <w:trPr>
          <w:cantSplit/>
          <w:trHeight w:val="136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19213" w14:textId="77777777" w:rsidR="006E4023" w:rsidRPr="00FC2A5C" w:rsidRDefault="006E4023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C2A5C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4865A" w14:textId="60A987D7" w:rsidR="006E4023" w:rsidRPr="00FC2A5C" w:rsidRDefault="006E4023" w:rsidP="009568BF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C2A5C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2E0CB" w14:textId="3F66F800" w:rsidR="006E4023" w:rsidRPr="00FC2A5C" w:rsidRDefault="006E4023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16AB20" w14:textId="2AB125C8" w:rsidR="006E4023" w:rsidRPr="00FC2A5C" w:rsidRDefault="006E4023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C75C03" w14:textId="77777777" w:rsidR="006E4023" w:rsidRDefault="006E4023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466489" w14:textId="17BE7626" w:rsidR="006E4023" w:rsidRDefault="006E4023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AFF397" w14:textId="3BDADC68" w:rsidR="006E4023" w:rsidRPr="00FC2A5C" w:rsidRDefault="006E4023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6E4023" w:rsidRPr="00FC2A5C" w14:paraId="35F4CE10" w14:textId="77777777" w:rsidTr="001E120A">
        <w:trPr>
          <w:cantSplit/>
          <w:trHeight w:val="1196"/>
        </w:trPr>
        <w:tc>
          <w:tcPr>
            <w:tcW w:w="6629" w:type="dxa"/>
            <w:gridSpan w:val="2"/>
            <w:shd w:val="clear" w:color="auto" w:fill="99CCFF"/>
            <w:vAlign w:val="center"/>
            <w:hideMark/>
          </w:tcPr>
          <w:p w14:paraId="00AE96D1" w14:textId="00E4C6F1" w:rsidR="006E4023" w:rsidRPr="00FC2A5C" w:rsidRDefault="006E4023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iCs/>
                <w:lang w:val="ru-RU" w:eastAsia="ru-RU"/>
              </w:rPr>
            </w:pPr>
            <w:r w:rsidRPr="00FC2A5C">
              <w:rPr>
                <w:b/>
                <w:iCs/>
                <w:lang w:val="ru-RU" w:eastAsia="ru-RU"/>
              </w:rPr>
              <w:t xml:space="preserve">1. Итоговый рейтинг, присуждаемый заявке по критерию  «качество работ и квалификация участника </w:t>
            </w:r>
            <w:r>
              <w:rPr>
                <w:b/>
                <w:iCs/>
                <w:lang w:val="ru-RU" w:eastAsia="ru-RU"/>
              </w:rPr>
              <w:t>процедуры</w:t>
            </w:r>
            <w:r w:rsidRPr="00FC2A5C">
              <w:rPr>
                <w:b/>
                <w:iCs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auto" w:fill="99CCFF"/>
            <w:noWrap/>
            <w:vAlign w:val="center"/>
            <w:hideMark/>
          </w:tcPr>
          <w:p w14:paraId="44DC8C78" w14:textId="4A225017" w:rsidR="006E4023" w:rsidRPr="00FC2A5C" w:rsidRDefault="00CC53B1" w:rsidP="001E120A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+C4</m:t>
                </m:r>
              </m:oMath>
            </m:oMathPara>
          </w:p>
        </w:tc>
        <w:tc>
          <w:tcPr>
            <w:tcW w:w="1701" w:type="dxa"/>
            <w:shd w:val="clear" w:color="auto" w:fill="99CCFF"/>
            <w:vAlign w:val="center"/>
          </w:tcPr>
          <w:p w14:paraId="5C05A871" w14:textId="653C01EA" w:rsidR="006E4023" w:rsidRPr="00FC2A5C" w:rsidRDefault="001E120A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71,75</w:t>
            </w:r>
          </w:p>
        </w:tc>
        <w:tc>
          <w:tcPr>
            <w:tcW w:w="1559" w:type="dxa"/>
            <w:shd w:val="clear" w:color="auto" w:fill="99CCFF"/>
            <w:vAlign w:val="center"/>
          </w:tcPr>
          <w:p w14:paraId="50710853" w14:textId="21675348" w:rsidR="006E4023" w:rsidRPr="00FC2A5C" w:rsidRDefault="001E120A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70,50</w:t>
            </w:r>
          </w:p>
        </w:tc>
        <w:tc>
          <w:tcPr>
            <w:tcW w:w="1701" w:type="dxa"/>
            <w:shd w:val="clear" w:color="auto" w:fill="99CCFF"/>
            <w:vAlign w:val="center"/>
          </w:tcPr>
          <w:p w14:paraId="3E1318B4" w14:textId="13F2AB3B" w:rsidR="006E4023" w:rsidRPr="00FC2A5C" w:rsidRDefault="001E120A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72,50</w:t>
            </w:r>
          </w:p>
        </w:tc>
        <w:tc>
          <w:tcPr>
            <w:tcW w:w="1559" w:type="dxa"/>
            <w:shd w:val="clear" w:color="auto" w:fill="99CCFF"/>
            <w:vAlign w:val="center"/>
          </w:tcPr>
          <w:p w14:paraId="3394C9A9" w14:textId="77777777" w:rsidR="001E120A" w:rsidRDefault="001E120A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  <w:p w14:paraId="2268C689" w14:textId="5F9FA124" w:rsidR="006E4023" w:rsidRPr="00FC2A5C" w:rsidRDefault="001E120A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99,50</w:t>
            </w:r>
          </w:p>
          <w:p w14:paraId="601BDBFA" w14:textId="28C55B08" w:rsidR="006E4023" w:rsidRPr="00FC2A5C" w:rsidRDefault="006E4023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</w:tr>
      <w:tr w:rsidR="00A256F6" w:rsidRPr="00A256F6" w14:paraId="07C87FBD" w14:textId="77777777" w:rsidTr="001E120A">
        <w:trPr>
          <w:cantSplit/>
          <w:trHeight w:val="1925"/>
        </w:trPr>
        <w:tc>
          <w:tcPr>
            <w:tcW w:w="534" w:type="dxa"/>
            <w:shd w:val="clear" w:color="000000" w:fill="DBEEF3"/>
            <w:vAlign w:val="center"/>
          </w:tcPr>
          <w:p w14:paraId="21969EC5" w14:textId="3345B0C1" w:rsidR="006E4023" w:rsidRPr="00A256F6" w:rsidRDefault="006E4023" w:rsidP="001E120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1.1</w:t>
            </w:r>
          </w:p>
        </w:tc>
        <w:tc>
          <w:tcPr>
            <w:tcW w:w="6095" w:type="dxa"/>
            <w:shd w:val="clear" w:color="000000" w:fill="DBEEF3"/>
            <w:vAlign w:val="center"/>
          </w:tcPr>
          <w:p w14:paraId="1F2F501C" w14:textId="77777777" w:rsidR="006E4023" w:rsidRPr="00A256F6" w:rsidRDefault="006E4023" w:rsidP="001E120A">
            <w:pPr>
              <w:tabs>
                <w:tab w:val="left" w:pos="25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256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256F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14:paraId="2A55A629" w14:textId="065B9A23" w:rsidR="006E4023" w:rsidRPr="00A256F6" w:rsidRDefault="006E4023" w:rsidP="001E120A">
            <w:pPr>
              <w:tabs>
                <w:tab w:val="left" w:pos="25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F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значение оценок в баллах всех членов Комиссии, присуждаемое заявке на участие в процедуре по показателю </w:t>
            </w:r>
            <w:r w:rsidRPr="00A256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56F6" w:rsidRPr="00A256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наличие положительного опыта работы по</w:t>
            </w:r>
            <w:r w:rsidR="00A256F6" w:rsidRPr="00A256F6">
              <w:rPr>
                <w:rFonts w:ascii="Times New Roman" w:hAnsi="Times New Roman" w:cs="Times New Roman"/>
                <w:b/>
                <w:bCs/>
                <w:iCs/>
                <w:snapToGrid w:val="0"/>
                <w:sz w:val="24"/>
                <w:szCs w:val="24"/>
              </w:rPr>
              <w:t xml:space="preserve"> организации мероприятий для частных, государственных  компаний и НКО за последние три года в  регионах России</w:t>
            </w:r>
            <w:r w:rsidRPr="00A256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</w:tcPr>
          <w:p w14:paraId="1E92A184" w14:textId="77777777" w:rsidR="006E4023" w:rsidRPr="00A256F6" w:rsidRDefault="006E4023" w:rsidP="001E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ADCBE0" w14:textId="02D11871" w:rsidR="006E4023" w:rsidRPr="00A256F6" w:rsidRDefault="00CC53B1" w:rsidP="001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=20</m:t>
                </m:r>
              </m:oMath>
            </m:oMathPara>
          </w:p>
          <w:p w14:paraId="32D44E62" w14:textId="6415781D" w:rsidR="006E4023" w:rsidRPr="00A256F6" w:rsidRDefault="006E4023" w:rsidP="001E120A">
            <w:pPr>
              <w:pStyle w:val="af1"/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  <w:shd w:val="clear" w:color="000000" w:fill="DBEEF3"/>
            <w:vAlign w:val="center"/>
          </w:tcPr>
          <w:p w14:paraId="15CFD720" w14:textId="48A6E016" w:rsidR="006E4023" w:rsidRPr="00A256F6" w:rsidRDefault="001E120A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8,00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14:paraId="49276034" w14:textId="557A5630" w:rsidR="006E4023" w:rsidRPr="00A256F6" w:rsidRDefault="001E120A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12,25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1EC6316B" w14:textId="51495C02" w:rsidR="006E4023" w:rsidRPr="00A256F6" w:rsidRDefault="001E120A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12,50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14:paraId="617CB213" w14:textId="31EE6512" w:rsidR="006E4023" w:rsidRPr="00A256F6" w:rsidRDefault="001E120A" w:rsidP="001E120A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19,50</w:t>
            </w:r>
          </w:p>
        </w:tc>
      </w:tr>
      <w:tr w:rsidR="00A256F6" w:rsidRPr="00A256F6" w14:paraId="1CCF0943" w14:textId="77777777" w:rsidTr="00F42F24">
        <w:trPr>
          <w:cantSplit/>
          <w:trHeight w:val="5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6E4023" w:rsidRPr="00A256F6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14:paraId="4262BED5" w14:textId="77777777" w:rsidR="00DA3DFE" w:rsidRPr="00A256F6" w:rsidRDefault="00DA3DFE" w:rsidP="00F42F24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jc w:val="center"/>
              <w:rPr>
                <w:bCs/>
                <w:iCs/>
                <w:snapToGrid w:val="0"/>
              </w:rPr>
            </w:pPr>
            <w:r w:rsidRPr="00A256F6">
              <w:t xml:space="preserve">В процессе оценки члены Комиссии по закупкам </w:t>
            </w:r>
            <w:r w:rsidRPr="00A256F6">
              <w:rPr>
                <w:color w:val="000000" w:themeColor="text1"/>
              </w:rPr>
              <w:t>оценивают  наличие положительного опыта работы по</w:t>
            </w:r>
            <w:r w:rsidRPr="00A256F6">
              <w:rPr>
                <w:bCs/>
                <w:iCs/>
                <w:snapToGrid w:val="0"/>
              </w:rPr>
              <w:t xml:space="preserve"> организации мероприятий для частных, государственных  компаний и НКО за последние три года в  регионах России (кроме Москвы и Московской области)</w:t>
            </w:r>
          </w:p>
          <w:p w14:paraId="4BB7AA3C" w14:textId="13353CF9" w:rsidR="006E4023" w:rsidRPr="00A256F6" w:rsidRDefault="00A256F6" w:rsidP="00F42F24">
            <w:pPr>
              <w:pStyle w:val="af3"/>
              <w:tabs>
                <w:tab w:val="left" w:pos="708"/>
              </w:tabs>
              <w:ind w:left="34" w:hanging="3"/>
              <w:contextualSpacing/>
              <w:jc w:val="center"/>
              <w:rPr>
                <w:color w:val="000000"/>
                <w:szCs w:val="24"/>
              </w:rPr>
            </w:pPr>
            <w:r w:rsidRPr="00A256F6">
              <w:rPr>
                <w:b/>
                <w:szCs w:val="24"/>
                <w:u w:val="single"/>
              </w:rPr>
              <w:t>и выставляют от 0 до 20 баллов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0A9BA8" w14:textId="77777777" w:rsidR="006E4023" w:rsidRPr="00A256F6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12027066" w14:textId="2584E5F2" w:rsidR="006E4023" w:rsidRPr="00A256F6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14:paraId="224F5CAE" w14:textId="510819CB" w:rsidR="006E4023" w:rsidRPr="00A256F6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vAlign w:val="center"/>
          </w:tcPr>
          <w:p w14:paraId="47693CE5" w14:textId="29CDF974" w:rsidR="006E4023" w:rsidRPr="00A256F6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EAFE8" w14:textId="22D79E54" w:rsidR="006E4023" w:rsidRPr="00A256F6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E4023" w:rsidRPr="00FC2A5C" w14:paraId="795481DA" w14:textId="77777777" w:rsidTr="00F42F24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</w:tcPr>
          <w:p w14:paraId="7BF1E0A6" w14:textId="77777777" w:rsidR="006E4023" w:rsidRPr="00FC2A5C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09443007" w14:textId="77777777" w:rsidR="006E4023" w:rsidRPr="00FC2A5C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F3296E" w14:textId="4D17A179" w:rsidR="006E4023" w:rsidRPr="00FC2A5C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66890CDE" w14:textId="76764D7A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14:paraId="65D3907C" w14:textId="3ED25DE2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14:paraId="02A6FDC6" w14:textId="5DE7A165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F8B6C" w14:textId="44E1CBDD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E4023" w:rsidRPr="00FC2A5C" w14:paraId="3C4870AE" w14:textId="77777777" w:rsidTr="00F42F24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6E4023" w:rsidRPr="00FC2A5C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  <w:hideMark/>
          </w:tcPr>
          <w:p w14:paraId="02930A63" w14:textId="77777777" w:rsidR="006E4023" w:rsidRPr="00FC2A5C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0235A1" w14:textId="77777777" w:rsidR="006E4023" w:rsidRPr="00FC2A5C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15D04E24" w14:textId="338735FC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59" w:type="dxa"/>
            <w:vAlign w:val="center"/>
          </w:tcPr>
          <w:p w14:paraId="38A9AA7A" w14:textId="2768787A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vAlign w:val="center"/>
          </w:tcPr>
          <w:p w14:paraId="6189B199" w14:textId="1A2779C2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526DBA" w14:textId="2556C4D7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6E4023" w:rsidRPr="00FC2A5C" w14:paraId="538AE5CE" w14:textId="77777777" w:rsidTr="00F42F24">
        <w:trPr>
          <w:cantSplit/>
          <w:trHeight w:val="62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217A3A5" w14:textId="77777777" w:rsidR="006E4023" w:rsidRPr="00FC2A5C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  <w:hideMark/>
          </w:tcPr>
          <w:p w14:paraId="1FEDC204" w14:textId="77777777" w:rsidR="006E4023" w:rsidRPr="00FC2A5C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38DB75" w14:textId="4598082F" w:rsidR="006E4023" w:rsidRPr="00FC2A5C" w:rsidRDefault="006E4023" w:rsidP="00F42F2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C.В. Скрипников</w:t>
            </w:r>
          </w:p>
        </w:tc>
        <w:tc>
          <w:tcPr>
            <w:tcW w:w="1701" w:type="dxa"/>
            <w:vAlign w:val="center"/>
          </w:tcPr>
          <w:p w14:paraId="434806B3" w14:textId="652ED757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14:paraId="28A5AA49" w14:textId="6DE29DD5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vAlign w:val="center"/>
          </w:tcPr>
          <w:p w14:paraId="1221A867" w14:textId="7776C7B0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35C9C9" w14:textId="0CCA20A2" w:rsidR="006E4023" w:rsidRPr="00FC2A5C" w:rsidRDefault="00F42F24" w:rsidP="00F42F2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A256F6" w:rsidRPr="00A256F6" w14:paraId="04338AA2" w14:textId="77777777" w:rsidTr="00A256F6">
        <w:trPr>
          <w:cantSplit/>
          <w:trHeight w:val="183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31854057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1.2</w:t>
            </w:r>
          </w:p>
        </w:tc>
        <w:tc>
          <w:tcPr>
            <w:tcW w:w="6095" w:type="dxa"/>
            <w:shd w:val="clear" w:color="000000" w:fill="DBEEF3"/>
            <w:vAlign w:val="center"/>
            <w:hideMark/>
          </w:tcPr>
          <w:p w14:paraId="044D0D28" w14:textId="77777777" w:rsidR="006E4023" w:rsidRPr="00A256F6" w:rsidRDefault="006E4023" w:rsidP="00A256F6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b/>
                <w:vertAlign w:val="subscript"/>
                <w:lang w:val="ru-RU" w:eastAsia="ru-RU"/>
              </w:rPr>
            </w:pPr>
            <w:r w:rsidRPr="00A256F6">
              <w:rPr>
                <w:b/>
                <w:lang w:val="ru-RU" w:eastAsia="ru-RU"/>
              </w:rPr>
              <w:t>C</w:t>
            </w:r>
            <w:r w:rsidRPr="00A256F6">
              <w:rPr>
                <w:b/>
                <w:vertAlign w:val="subscript"/>
                <w:lang w:val="ru-RU" w:eastAsia="ru-RU"/>
              </w:rPr>
              <w:t>2</w:t>
            </w:r>
          </w:p>
          <w:p w14:paraId="7E9A763C" w14:textId="6F321AB0" w:rsidR="006E4023" w:rsidRPr="00A256F6" w:rsidRDefault="006E4023" w:rsidP="00A256F6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lang w:val="ru-RU"/>
              </w:rPr>
            </w:pPr>
            <w:r w:rsidRPr="00A256F6">
              <w:rPr>
                <w:lang w:val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по показателю </w:t>
            </w:r>
            <w:r w:rsidRPr="00A256F6">
              <w:rPr>
                <w:b/>
                <w:lang w:val="ru-RU"/>
              </w:rPr>
              <w:t>«</w:t>
            </w:r>
            <w:r w:rsidRPr="00A256F6">
              <w:rPr>
                <w:b/>
                <w:color w:val="000000" w:themeColor="text1"/>
                <w:lang w:val="ru-RU"/>
              </w:rPr>
              <w:t xml:space="preserve">опыт </w:t>
            </w:r>
            <w:r w:rsidR="00A256F6" w:rsidRPr="00A256F6">
              <w:rPr>
                <w:b/>
                <w:color w:val="000000" w:themeColor="text1"/>
                <w:lang w:val="ru-RU"/>
              </w:rPr>
              <w:t xml:space="preserve">организации форумов и конференций </w:t>
            </w:r>
            <w:r w:rsidR="00A256F6" w:rsidRPr="00A256F6">
              <w:rPr>
                <w:b/>
                <w:bCs/>
                <w:iCs/>
                <w:snapToGrid w:val="0"/>
                <w:lang w:val="ru-RU"/>
              </w:rPr>
              <w:t xml:space="preserve"> с участием Президента, Премьер-министра, министров, губернаторов Российской Федерации за последние три года (для 300 и более участников) в Москве и других регионах России</w:t>
            </w:r>
            <w:r w:rsidRPr="00A256F6">
              <w:rPr>
                <w:b/>
                <w:lang w:val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06B6C560" w14:textId="0D127B35" w:rsidR="006E4023" w:rsidRPr="00A256F6" w:rsidRDefault="00CC53B1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=30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2CBEA4CE" w14:textId="11C3A225" w:rsidR="006E4023" w:rsidRPr="00A256F6" w:rsidRDefault="001E120A" w:rsidP="00A256F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15,00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14:paraId="050B283E" w14:textId="19302150" w:rsidR="006E4023" w:rsidRPr="00A256F6" w:rsidRDefault="001E120A" w:rsidP="00A256F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20,00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0E476C1C" w14:textId="66A966E6" w:rsidR="006E4023" w:rsidRPr="00A256F6" w:rsidRDefault="001E120A" w:rsidP="00A256F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12,50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14:paraId="28C53DC4" w14:textId="0BDD6CE2" w:rsidR="006E4023" w:rsidRPr="00A256F6" w:rsidRDefault="001E120A" w:rsidP="00A256F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30,00</w:t>
            </w:r>
          </w:p>
        </w:tc>
      </w:tr>
      <w:tr w:rsidR="00A256F6" w:rsidRPr="00A256F6" w14:paraId="19D4931C" w14:textId="77777777" w:rsidTr="00A256F6">
        <w:trPr>
          <w:cantSplit/>
          <w:trHeight w:val="80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14:paraId="10510CD5" w14:textId="18B9B7FF" w:rsidR="00A256F6" w:rsidRPr="00A256F6" w:rsidRDefault="00A256F6" w:rsidP="00A256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6F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наличие у участника </w:t>
            </w:r>
            <w:r w:rsidR="0094612B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A2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опыта организации форумов и конференций </w:t>
            </w:r>
            <w:r w:rsidRPr="00A256F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с участием Президента, Премьер-министра, министров, губернаторов Российской Федерации за последние три года (для 300 и более участников) в Москве и других регионах России.</w:t>
            </w:r>
          </w:p>
          <w:p w14:paraId="5128905A" w14:textId="7036D56F" w:rsidR="006E4023" w:rsidRPr="00A256F6" w:rsidRDefault="00A256F6" w:rsidP="00A256F6">
            <w:pPr>
              <w:pStyle w:val="af3"/>
              <w:tabs>
                <w:tab w:val="left" w:pos="708"/>
              </w:tabs>
              <w:ind w:left="34" w:hanging="3"/>
              <w:contextualSpacing/>
              <w:rPr>
                <w:color w:val="000000"/>
              </w:rPr>
            </w:pPr>
            <w:r w:rsidRPr="00A256F6">
              <w:rPr>
                <w:b/>
                <w:szCs w:val="24"/>
              </w:rPr>
              <w:t xml:space="preserve">и выставляют от </w:t>
            </w:r>
            <w:r w:rsidRPr="00A256F6">
              <w:rPr>
                <w:b/>
                <w:szCs w:val="24"/>
                <w:u w:val="single"/>
              </w:rPr>
              <w:t>0 до 30 баллов</w:t>
            </w:r>
            <w:r w:rsidRPr="00A256F6">
              <w:rPr>
                <w:b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37540BB0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7829A13B" w14:textId="30C7A45A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vAlign w:val="center"/>
          </w:tcPr>
          <w:p w14:paraId="3EF48C16" w14:textId="089F348E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14:paraId="771C6EB7" w14:textId="1EC81554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B4E31" w14:textId="7762BC2E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A256F6" w:rsidRPr="00A256F6" w14:paraId="57A8B5FF" w14:textId="77777777" w:rsidTr="00A256F6">
        <w:trPr>
          <w:cantSplit/>
          <w:trHeight w:val="82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1394EC79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  <w:hideMark/>
          </w:tcPr>
          <w:p w14:paraId="5A2DB186" w14:textId="77777777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5C195E12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74035773" w14:textId="75F8D181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4A0C622" w14:textId="5EAFEA4D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14:paraId="0C193454" w14:textId="7CE70C1B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3EC167" w14:textId="21DA332A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A256F6" w:rsidRPr="00A256F6" w14:paraId="5CDE1ED0" w14:textId="77777777" w:rsidTr="00A256F6">
        <w:trPr>
          <w:cantSplit/>
          <w:trHeight w:val="747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  <w:hideMark/>
          </w:tcPr>
          <w:p w14:paraId="7D98E1B0" w14:textId="77777777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170D41" w14:textId="4F3A914D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28645B3E" w14:textId="658A46A2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vAlign w:val="center"/>
          </w:tcPr>
          <w:p w14:paraId="6B7DEBFC" w14:textId="1DBC6716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14:paraId="1946F364" w14:textId="46C86AC8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D3144" w14:textId="4AE98EE0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A256F6" w:rsidRPr="00A256F6" w14:paraId="49E7620E" w14:textId="77777777" w:rsidTr="00A256F6">
        <w:trPr>
          <w:cantSplit/>
          <w:trHeight w:val="714"/>
        </w:trPr>
        <w:tc>
          <w:tcPr>
            <w:tcW w:w="534" w:type="dxa"/>
            <w:vMerge/>
            <w:shd w:val="clear" w:color="auto" w:fill="auto"/>
            <w:vAlign w:val="center"/>
          </w:tcPr>
          <w:p w14:paraId="36EDD1CD" w14:textId="77777777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5C9670B3" w14:textId="77777777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E6AF5" w14:textId="55114B39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C.В. Скрипников</w:t>
            </w:r>
          </w:p>
        </w:tc>
        <w:tc>
          <w:tcPr>
            <w:tcW w:w="1701" w:type="dxa"/>
            <w:vAlign w:val="center"/>
          </w:tcPr>
          <w:p w14:paraId="3109EA02" w14:textId="04C4AFF6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vAlign w:val="center"/>
          </w:tcPr>
          <w:p w14:paraId="340352DD" w14:textId="5FCB8C09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14:paraId="18FC5B3E" w14:textId="11B567FB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3209F" w14:textId="7D1AFF30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A256F6" w:rsidRPr="00FC2A5C" w14:paraId="623AD001" w14:textId="77777777" w:rsidTr="00A256F6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4A509E07" w:rsidR="006E4023" w:rsidRPr="00BD74C2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BD74C2">
              <w:rPr>
                <w:lang w:eastAsia="ru-RU"/>
              </w:rPr>
              <w:t>.3</w:t>
            </w:r>
          </w:p>
        </w:tc>
        <w:tc>
          <w:tcPr>
            <w:tcW w:w="6095" w:type="dxa"/>
            <w:shd w:val="clear" w:color="000000" w:fill="DBEEF3"/>
            <w:vAlign w:val="center"/>
            <w:hideMark/>
          </w:tcPr>
          <w:p w14:paraId="563AB53E" w14:textId="48A14CCC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b/>
                <w:vertAlign w:val="subscript"/>
                <w:lang w:eastAsia="ru-RU"/>
              </w:rPr>
            </w:pPr>
            <w:r w:rsidRPr="00FC2A5C">
              <w:rPr>
                <w:b/>
                <w:lang w:val="ru-RU" w:eastAsia="ru-RU"/>
              </w:rPr>
              <w:t>С</w:t>
            </w:r>
            <w:r w:rsidR="005F5701">
              <w:rPr>
                <w:b/>
                <w:vertAlign w:val="subscript"/>
                <w:lang w:val="ru-RU" w:eastAsia="ru-RU"/>
              </w:rPr>
              <w:t>3</w:t>
            </w:r>
          </w:p>
          <w:p w14:paraId="4D99E69D" w14:textId="68396C41" w:rsidR="006E4023" w:rsidRPr="00FC2A5C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  <w:r w:rsidRPr="00FC2A5C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</w:t>
            </w:r>
            <w:r>
              <w:rPr>
                <w:lang w:val="ru-RU" w:eastAsia="ru-RU"/>
              </w:rPr>
              <w:t>процедуре</w:t>
            </w:r>
            <w:r w:rsidRPr="00FC2A5C">
              <w:rPr>
                <w:lang w:val="ru-RU" w:eastAsia="ru-RU"/>
              </w:rPr>
              <w:t xml:space="preserve">  по показателю </w:t>
            </w:r>
            <w:r w:rsidRPr="00A256F6">
              <w:rPr>
                <w:b/>
                <w:lang w:val="ru-RU" w:eastAsia="ru-RU"/>
              </w:rPr>
              <w:t xml:space="preserve">«наличие </w:t>
            </w:r>
            <w:r w:rsidR="00A256F6" w:rsidRPr="00A256F6">
              <w:rPr>
                <w:b/>
              </w:rPr>
              <w:t>у участника процедуры необходимого персонала</w:t>
            </w:r>
            <w:r w:rsidRPr="00A256F6">
              <w:rPr>
                <w:b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3A9B9E9F" w14:textId="77777777" w:rsidR="006E4023" w:rsidRDefault="006E4023" w:rsidP="00A256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BF19DAC" w14:textId="3CBC19E3" w:rsidR="006E4023" w:rsidRPr="00FC2A5C" w:rsidRDefault="00CC53B1" w:rsidP="00A256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=30</m:t>
                </m:r>
              </m:oMath>
            </m:oMathPara>
          </w:p>
          <w:p w14:paraId="2430E835" w14:textId="729291D5" w:rsidR="006E4023" w:rsidRPr="00FC2A5C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shd w:val="clear" w:color="000000" w:fill="DBEEF3"/>
            <w:vAlign w:val="center"/>
          </w:tcPr>
          <w:p w14:paraId="03490490" w14:textId="527E51C5" w:rsidR="006E4023" w:rsidRPr="00FC2A5C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28,75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14:paraId="45107EED" w14:textId="5313DD57" w:rsidR="006E4023" w:rsidRPr="00FC2A5C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18,25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07F6ABD7" w14:textId="30584775" w:rsidR="006E4023" w:rsidRPr="00FC2A5C" w:rsidRDefault="001E120A" w:rsidP="00A256F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27,50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14:paraId="2340AA7B" w14:textId="45BA28FF" w:rsidR="006E4023" w:rsidRPr="00FC2A5C" w:rsidRDefault="001E120A" w:rsidP="00A256F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30,00</w:t>
            </w:r>
          </w:p>
        </w:tc>
      </w:tr>
      <w:tr w:rsidR="006E4023" w:rsidRPr="00FC2A5C" w14:paraId="2463E6ED" w14:textId="77777777" w:rsidTr="00A256F6">
        <w:trPr>
          <w:cantSplit/>
          <w:trHeight w:val="72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71838775" w:rsidR="006E4023" w:rsidRPr="007E2E13" w:rsidRDefault="006E402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14:paraId="3844FAE4" w14:textId="77777777" w:rsidR="006E4023" w:rsidRPr="00A256F6" w:rsidRDefault="006E4023" w:rsidP="00A256F6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A256F6">
              <w:rPr>
                <w:b/>
                <w:lang w:val="ru-RU" w:eastAsia="ru-RU"/>
              </w:rPr>
              <w:t>С3</w:t>
            </w:r>
          </w:p>
          <w:p w14:paraId="7FA49FE7" w14:textId="7825A2CC" w:rsidR="00A256F6" w:rsidRPr="00A256F6" w:rsidRDefault="00A256F6" w:rsidP="00A256F6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A256F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 по закупкам оценивают наличие у участника процедуры необходимого персонала: </w:t>
            </w:r>
            <w:r w:rsidRPr="00A25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56F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Исполнитель должен обладать необходимыми квалифицированными трудовыми ресурсами, согласно </w:t>
            </w:r>
            <w:r w:rsidRPr="00A25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</w:t>
            </w:r>
            <w:r w:rsidRPr="00A256F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8.8 Раздела </w:t>
            </w:r>
            <w:r w:rsidRPr="00A256F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en-US"/>
              </w:rPr>
              <w:t>III</w:t>
            </w:r>
            <w:r w:rsidRPr="00A256F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Информационная карта:</w:t>
            </w:r>
          </w:p>
          <w:p w14:paraId="69976A7C" w14:textId="77777777" w:rsidR="00A256F6" w:rsidRPr="00A256F6" w:rsidRDefault="00A256F6" w:rsidP="00A256F6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56F6">
              <w:rPr>
                <w:rFonts w:ascii="Times New Roman" w:eastAsiaTheme="minorEastAsia" w:hAnsi="Times New Roman" w:cs="Times New Roman"/>
                <w:sz w:val="24"/>
                <w:szCs w:val="24"/>
              </w:rPr>
              <w:t>Менеджер проекта;</w:t>
            </w:r>
          </w:p>
          <w:p w14:paraId="70DD03C4" w14:textId="77777777" w:rsidR="00A256F6" w:rsidRPr="00A256F6" w:rsidRDefault="00A256F6" w:rsidP="00A256F6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56F6">
              <w:rPr>
                <w:rFonts w:ascii="Times New Roman" w:eastAsiaTheme="minorEastAsia" w:hAnsi="Times New Roman" w:cs="Times New Roman"/>
                <w:sz w:val="24"/>
                <w:szCs w:val="24"/>
              </w:rPr>
              <w:t>Ивент-менеджер;</w:t>
            </w:r>
          </w:p>
          <w:p w14:paraId="6E2F4B34" w14:textId="77777777" w:rsidR="00A256F6" w:rsidRPr="00A256F6" w:rsidRDefault="00A256F6" w:rsidP="00A256F6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56F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Технический директор;</w:t>
            </w:r>
          </w:p>
          <w:p w14:paraId="46D282B4" w14:textId="54918885" w:rsidR="00A256F6" w:rsidRPr="00A256F6" w:rsidRDefault="00A256F6" w:rsidP="00A256F6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56F6">
              <w:rPr>
                <w:rFonts w:ascii="Times New Roman" w:eastAsiaTheme="minorEastAsia" w:hAnsi="Times New Roman" w:cs="Times New Roman"/>
                <w:sz w:val="24"/>
                <w:szCs w:val="24"/>
              </w:rPr>
              <w:t>Инженер-дизайнер</w:t>
            </w:r>
          </w:p>
          <w:p w14:paraId="1B2E6E2C" w14:textId="14ECFAE0" w:rsidR="006E4023" w:rsidRPr="00A256F6" w:rsidRDefault="00A256F6" w:rsidP="00A256F6">
            <w:pPr>
              <w:pStyle w:val="a7"/>
              <w:spacing w:line="240" w:lineRule="auto"/>
              <w:ind w:left="3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выставляют от </w:t>
            </w:r>
            <w:r w:rsidRPr="00A256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до 30</w:t>
            </w:r>
            <w:r w:rsidRPr="00A2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455E02" w14:textId="0DD824D2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03344C45" w14:textId="0FBCD026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9" w:type="dxa"/>
            <w:vAlign w:val="center"/>
          </w:tcPr>
          <w:p w14:paraId="146C6A23" w14:textId="2F25BAA7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14:paraId="16FFAAC7" w14:textId="0584B09F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5EA8DE" w14:textId="79E354FD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6E4023" w:rsidRPr="00FC2A5C" w14:paraId="58DA1B3B" w14:textId="77777777" w:rsidTr="00A256F6">
        <w:trPr>
          <w:cantSplit/>
          <w:trHeight w:val="703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2764F185" w:rsidR="006E4023" w:rsidRPr="007E2E13" w:rsidRDefault="006E402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5CE15B65" w14:textId="7D199FC5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7C0862" w14:textId="3896F4A4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4D5A7782" w14:textId="5989F115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9" w:type="dxa"/>
            <w:vAlign w:val="center"/>
          </w:tcPr>
          <w:p w14:paraId="4390115A" w14:textId="557669D0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vAlign w:val="center"/>
          </w:tcPr>
          <w:p w14:paraId="713CA3D8" w14:textId="4E788207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7A340" w14:textId="21406601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6E4023" w:rsidRPr="007E2E13" w14:paraId="79C13EAE" w14:textId="77777777" w:rsidTr="00A256F6">
        <w:trPr>
          <w:cantSplit/>
          <w:trHeight w:val="672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6E4023" w:rsidRPr="007E2E13" w:rsidRDefault="006E402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198F220B" w14:textId="6C5EB118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19B8CB" w14:textId="48748173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2CD31173" w14:textId="1BF2A413" w:rsidR="006E4023" w:rsidRPr="00A256F6" w:rsidRDefault="00F42F24" w:rsidP="00A256F6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75576279" w14:textId="3AC645E7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vAlign w:val="center"/>
          </w:tcPr>
          <w:p w14:paraId="7F102A18" w14:textId="00211E37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12A1E" w14:textId="3E95F63A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6E4023" w:rsidRPr="007E2E13" w14:paraId="44894C96" w14:textId="77777777" w:rsidTr="00A256F6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47BFCAED" w14:textId="77777777" w:rsidR="006E4023" w:rsidRPr="007E2E13" w:rsidRDefault="006E402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23D8C08A" w14:textId="77777777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5F2AD3" w14:textId="26BCD4FA" w:rsidR="006E4023" w:rsidRPr="00A256F6" w:rsidRDefault="006E4023" w:rsidP="00A256F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A256F6">
              <w:rPr>
                <w:lang w:val="ru-RU" w:eastAsia="ru-RU"/>
              </w:rPr>
              <w:t>C.В. Скрипников</w:t>
            </w:r>
          </w:p>
        </w:tc>
        <w:tc>
          <w:tcPr>
            <w:tcW w:w="1701" w:type="dxa"/>
            <w:vAlign w:val="center"/>
          </w:tcPr>
          <w:p w14:paraId="56FABF70" w14:textId="468D2087" w:rsidR="006E4023" w:rsidRPr="00A256F6" w:rsidRDefault="00F42F24" w:rsidP="00A256F6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53DDAB40" w14:textId="637473A0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701" w:type="dxa"/>
            <w:vAlign w:val="center"/>
          </w:tcPr>
          <w:p w14:paraId="6FD37D8B" w14:textId="1190C507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EFCE8" w14:textId="1A13DBF3" w:rsidR="006E4023" w:rsidRPr="00A256F6" w:rsidRDefault="00F42F24" w:rsidP="00A256F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F42F24" w:rsidRPr="005F5701" w14:paraId="2C2F790E" w14:textId="77777777" w:rsidTr="005F5701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24195D3B" w14:textId="5939BCC8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5F5701">
              <w:rPr>
                <w:lang w:val="ru-RU" w:eastAsia="ru-RU"/>
              </w:rPr>
              <w:t>1</w:t>
            </w:r>
            <w:r w:rsidRPr="005F5701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</w:p>
        </w:tc>
        <w:tc>
          <w:tcPr>
            <w:tcW w:w="6095" w:type="dxa"/>
            <w:shd w:val="clear" w:color="000000" w:fill="DBEEF3"/>
            <w:vAlign w:val="center"/>
            <w:hideMark/>
          </w:tcPr>
          <w:p w14:paraId="7C1A7001" w14:textId="2FAC9320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b/>
                <w:vertAlign w:val="subscript"/>
                <w:lang w:val="ru-RU" w:eastAsia="ru-RU"/>
              </w:rPr>
            </w:pPr>
            <w:r w:rsidRPr="005F5701">
              <w:rPr>
                <w:b/>
                <w:lang w:val="ru-RU" w:eastAsia="ru-RU"/>
              </w:rPr>
              <w:t>С</w:t>
            </w:r>
            <w:r w:rsidRPr="005F5701">
              <w:rPr>
                <w:b/>
                <w:vertAlign w:val="subscript"/>
                <w:lang w:val="ru-RU" w:eastAsia="ru-RU"/>
              </w:rPr>
              <w:t>4</w:t>
            </w:r>
          </w:p>
          <w:p w14:paraId="1D47D2D2" w14:textId="6DF5C3A6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  <w:r w:rsidRPr="005F5701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 по показателю </w:t>
            </w:r>
            <w:r w:rsidRPr="005F5701">
              <w:rPr>
                <w:b/>
                <w:lang w:val="ru-RU" w:eastAsia="ru-RU"/>
              </w:rPr>
              <w:t>«деловая репутация участника процедуры»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676F90E3" w14:textId="77777777" w:rsidR="00F42F24" w:rsidRPr="005F5701" w:rsidRDefault="00F42F24" w:rsidP="005F57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E16430F" w14:textId="2B4DDDA0" w:rsidR="00F42F24" w:rsidRPr="005F5701" w:rsidRDefault="00CC53B1" w:rsidP="005F57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=20</m:t>
                </m:r>
              </m:oMath>
            </m:oMathPara>
          </w:p>
          <w:p w14:paraId="7717742E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shd w:val="clear" w:color="000000" w:fill="DBEEF3"/>
            <w:vAlign w:val="center"/>
          </w:tcPr>
          <w:p w14:paraId="59D111D4" w14:textId="0334E94A" w:rsidR="00F42F24" w:rsidRPr="001E120A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1E120A">
              <w:rPr>
                <w:b/>
                <w:lang w:val="ru-RU"/>
              </w:rPr>
              <w:t>20</w:t>
            </w:r>
            <w:r w:rsidR="001E120A" w:rsidRPr="001E120A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14:paraId="44A5DB71" w14:textId="1FE674AE" w:rsidR="00F42F24" w:rsidRPr="001E120A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1E120A">
              <w:rPr>
                <w:b/>
                <w:lang w:val="ru-RU"/>
              </w:rPr>
              <w:t>20</w:t>
            </w:r>
            <w:r w:rsidR="001E120A" w:rsidRPr="001E120A">
              <w:rPr>
                <w:b/>
                <w:lang w:val="ru-RU"/>
              </w:rPr>
              <w:t>,00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29E04755" w14:textId="671704E9" w:rsidR="00F42F24" w:rsidRPr="001E120A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1E120A">
              <w:rPr>
                <w:b/>
                <w:lang w:val="ru-RU"/>
              </w:rPr>
              <w:t>20</w:t>
            </w:r>
            <w:r w:rsidR="001E120A" w:rsidRPr="001E120A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14:paraId="1C1D5415" w14:textId="79245D58" w:rsidR="00F42F24" w:rsidRPr="001E120A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1E120A">
              <w:rPr>
                <w:b/>
                <w:lang w:val="ru-RU"/>
              </w:rPr>
              <w:t>20</w:t>
            </w:r>
            <w:r w:rsidR="001E120A" w:rsidRPr="001E120A">
              <w:rPr>
                <w:b/>
                <w:lang w:val="ru-RU"/>
              </w:rPr>
              <w:t>,00</w:t>
            </w:r>
          </w:p>
        </w:tc>
      </w:tr>
      <w:tr w:rsidR="00F42F24" w:rsidRPr="005F5701" w14:paraId="59CFE16E" w14:textId="77777777" w:rsidTr="005F5701">
        <w:trPr>
          <w:cantSplit/>
          <w:trHeight w:val="72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3443D63E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14:paraId="297EDF4B" w14:textId="437A0023" w:rsidR="00F42F24" w:rsidRPr="005F5701" w:rsidRDefault="00F42F24" w:rsidP="005F5701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5F5701">
              <w:rPr>
                <w:b/>
                <w:lang w:val="ru-RU" w:eastAsia="ru-RU"/>
              </w:rPr>
              <w:t>С4</w:t>
            </w:r>
          </w:p>
          <w:p w14:paraId="33FD746D" w14:textId="77777777" w:rsidR="00F42F24" w:rsidRPr="005F5701" w:rsidRDefault="00F42F24" w:rsidP="005F5701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ind w:firstLine="317"/>
              <w:jc w:val="center"/>
              <w:rPr>
                <w:color w:val="000000"/>
              </w:rPr>
            </w:pPr>
            <w:r w:rsidRPr="005F5701">
              <w:rPr>
                <w:rFonts w:eastAsiaTheme="minorHAnsi"/>
                <w:b/>
              </w:rPr>
              <w:t xml:space="preserve">В процессе оценки члены комиссии анализируют деловую репутацию Участника закупки и выставляют от 0 до 20 баллов согласно шкале: </w:t>
            </w:r>
            <w:r w:rsidRPr="005F5701">
              <w:rPr>
                <w:color w:val="000000"/>
              </w:rPr>
              <w:t>20 (Двадцать) баллов в случае не участия участника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закупки, а также в случае отсутствия претензий или рекламаций (замечаний) со стороны заказчиков.</w:t>
            </w:r>
          </w:p>
          <w:p w14:paraId="1D684F9E" w14:textId="77777777" w:rsidR="00F42F24" w:rsidRPr="005F5701" w:rsidRDefault="00F42F24" w:rsidP="005F5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 (Десять) баллов в случае участия организации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закупки, а также в случае наличия претензий или рекламаций (замечаний) со стороны заказчиков, при наличии 5 (пяти) и менее судебных дел, претензий или рекламаций со стороны заказчиков.</w:t>
            </w:r>
          </w:p>
          <w:p w14:paraId="45C327F4" w14:textId="77777777" w:rsidR="00F42F24" w:rsidRPr="005F5701" w:rsidRDefault="00F42F24" w:rsidP="005F5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 (Ноль) баллов -  в случае участия участника в</w:t>
            </w:r>
          </w:p>
          <w:p w14:paraId="6AE0A763" w14:textId="77777777" w:rsidR="00F42F24" w:rsidRPr="005F5701" w:rsidRDefault="00F42F24" w:rsidP="005F5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закупки, а также в случае наличия претензий или рекламаций (замечаний) со стороны заказчиков при наличии свыше 5 (Пять) и более судебных дел, претензий или рекламаций со стороны Заказчиков.</w:t>
            </w:r>
          </w:p>
          <w:p w14:paraId="0F91E96F" w14:textId="0B0E05B4" w:rsidR="00F42F24" w:rsidRPr="005F5701" w:rsidRDefault="00F42F24" w:rsidP="005F5701">
            <w:pPr>
              <w:pStyle w:val="a7"/>
              <w:spacing w:line="240" w:lineRule="auto"/>
              <w:ind w:left="3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B4EE6F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5F5701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172C117C" w14:textId="06E9BAB2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vAlign w:val="center"/>
          </w:tcPr>
          <w:p w14:paraId="10A790F3" w14:textId="4FABE1BB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14:paraId="07707806" w14:textId="0FFF9D13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92512" w14:textId="5C39A915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42F24" w:rsidRPr="005F5701" w14:paraId="4D67FB78" w14:textId="77777777" w:rsidTr="005F5701">
        <w:trPr>
          <w:cantSplit/>
          <w:trHeight w:val="703"/>
        </w:trPr>
        <w:tc>
          <w:tcPr>
            <w:tcW w:w="534" w:type="dxa"/>
            <w:vMerge/>
            <w:shd w:val="clear" w:color="auto" w:fill="auto"/>
            <w:vAlign w:val="center"/>
          </w:tcPr>
          <w:p w14:paraId="17081427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2BF9DD48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AAE714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5F5701"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566FAE86" w14:textId="6B9FD7CF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vAlign w:val="center"/>
          </w:tcPr>
          <w:p w14:paraId="158736BB" w14:textId="6E27196E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14:paraId="7F4B548F" w14:textId="6D078D44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7EDBC" w14:textId="55C350BB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42F24" w:rsidRPr="005F5701" w14:paraId="3A3E798A" w14:textId="77777777" w:rsidTr="005F5701">
        <w:trPr>
          <w:cantSplit/>
          <w:trHeight w:val="672"/>
        </w:trPr>
        <w:tc>
          <w:tcPr>
            <w:tcW w:w="534" w:type="dxa"/>
            <w:vMerge/>
            <w:shd w:val="clear" w:color="auto" w:fill="auto"/>
            <w:vAlign w:val="center"/>
          </w:tcPr>
          <w:p w14:paraId="292710F3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5AC1F266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7D0EC4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5F5701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21AC5BA2" w14:textId="29246798" w:rsidR="00F42F24" w:rsidRPr="005F5701" w:rsidRDefault="00F42F24" w:rsidP="005F5701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1559" w:type="dxa"/>
            <w:vAlign w:val="center"/>
          </w:tcPr>
          <w:p w14:paraId="6C4414F0" w14:textId="74A6EEE8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14:paraId="0AE43925" w14:textId="43283F6E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7100F4" w14:textId="7A163041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42F24" w:rsidRPr="005F5701" w14:paraId="43D6F125" w14:textId="77777777" w:rsidTr="005F5701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09C9885D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13811A79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E160C2" w14:textId="77777777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5F5701">
              <w:rPr>
                <w:lang w:val="ru-RU" w:eastAsia="ru-RU"/>
              </w:rPr>
              <w:t>C.В. Скрипников</w:t>
            </w:r>
          </w:p>
        </w:tc>
        <w:tc>
          <w:tcPr>
            <w:tcW w:w="1701" w:type="dxa"/>
            <w:vAlign w:val="center"/>
          </w:tcPr>
          <w:p w14:paraId="1349D349" w14:textId="20714B75" w:rsidR="00F42F24" w:rsidRPr="005F5701" w:rsidRDefault="00F42F24" w:rsidP="005F5701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1559" w:type="dxa"/>
            <w:vAlign w:val="center"/>
          </w:tcPr>
          <w:p w14:paraId="123B6513" w14:textId="356892A9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14:paraId="0BA13D4F" w14:textId="07CF2EFF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B9A40A" w14:textId="324A98B2" w:rsidR="00F42F24" w:rsidRPr="005F5701" w:rsidRDefault="00F42F24" w:rsidP="005F570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</w:tbl>
    <w:p w14:paraId="35A350FF" w14:textId="77777777" w:rsidR="00447662" w:rsidRDefault="00447662" w:rsidP="00F42F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4E5B5" w14:textId="692684C1" w:rsidR="00D11F3A" w:rsidRPr="00BD74C2" w:rsidRDefault="00180532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квалифицированных поставщиков, отражен в Таблице №3 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5103"/>
        <w:gridCol w:w="2977"/>
        <w:gridCol w:w="2693"/>
      </w:tblGrid>
      <w:tr w:rsidR="00180532" w:rsidRPr="00BD74C2" w14:paraId="068B1E8D" w14:textId="77777777" w:rsidTr="00180532">
        <w:trPr>
          <w:cantSplit/>
          <w:trHeight w:val="276"/>
          <w:tblHeader/>
        </w:trPr>
        <w:tc>
          <w:tcPr>
            <w:tcW w:w="993" w:type="dxa"/>
            <w:vAlign w:val="center"/>
          </w:tcPr>
          <w:p w14:paraId="3743F8F6" w14:textId="5BE2979E" w:rsidR="00180532" w:rsidRPr="00BD74C2" w:rsidRDefault="009030EB" w:rsidP="00180532">
            <w:pPr>
              <w:pStyle w:val="a5"/>
              <w:keepNext/>
              <w:tabs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Рег. номер</w:t>
            </w:r>
          </w:p>
        </w:tc>
        <w:tc>
          <w:tcPr>
            <w:tcW w:w="3685" w:type="dxa"/>
            <w:vAlign w:val="center"/>
          </w:tcPr>
          <w:p w14:paraId="45B2B727" w14:textId="404F42D9" w:rsidR="00180532" w:rsidRPr="00BD74C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Наименование</w:t>
            </w:r>
            <w:r w:rsidRPr="00BD74C2">
              <w:rPr>
                <w:b/>
                <w:sz w:val="24"/>
                <w:szCs w:val="24"/>
              </w:rPr>
              <w:br/>
              <w:t xml:space="preserve">участника </w:t>
            </w:r>
            <w:r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5103" w:type="dxa"/>
            <w:vAlign w:val="center"/>
          </w:tcPr>
          <w:p w14:paraId="74293F70" w14:textId="77777777" w:rsidR="00180532" w:rsidRPr="00BD74C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977" w:type="dxa"/>
            <w:vAlign w:val="center"/>
          </w:tcPr>
          <w:p w14:paraId="2A02ADFC" w14:textId="625A571B" w:rsidR="0018053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  <w:p w14:paraId="263A7E85" w14:textId="43D96E5E" w:rsidR="0018053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min 70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06F6312E" w14:textId="4FD2ABEA" w:rsidR="0018053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действия перечня</w:t>
            </w:r>
          </w:p>
        </w:tc>
      </w:tr>
      <w:tr w:rsidR="00180532" w:rsidRPr="00BD74C2" w14:paraId="10E57F07" w14:textId="77777777" w:rsidTr="00180532">
        <w:trPr>
          <w:cantSplit/>
          <w:trHeight w:val="276"/>
          <w:tblHeader/>
        </w:trPr>
        <w:tc>
          <w:tcPr>
            <w:tcW w:w="993" w:type="dxa"/>
            <w:shd w:val="clear" w:color="auto" w:fill="DBE5F1"/>
            <w:vAlign w:val="center"/>
          </w:tcPr>
          <w:p w14:paraId="221FBE99" w14:textId="77777777" w:rsidR="00180532" w:rsidRPr="00BD74C2" w:rsidRDefault="00180532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6DFAFFA" w14:textId="77777777" w:rsidR="00180532" w:rsidRPr="00BD74C2" w:rsidRDefault="00180532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3E6ECCBB" w14:textId="77777777" w:rsidR="00180532" w:rsidRPr="00BD74C2" w:rsidRDefault="00180532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0434B908" w14:textId="076BF37A" w:rsidR="00180532" w:rsidRPr="00BD74C2" w:rsidRDefault="00180532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DBE5F1"/>
          </w:tcPr>
          <w:p w14:paraId="213BDF9F" w14:textId="2D1470B6" w:rsidR="00180532" w:rsidRPr="00BD74C2" w:rsidRDefault="00180532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030EB" w:rsidRPr="00180532" w14:paraId="5E0D4ECC" w14:textId="77777777" w:rsidTr="00180532">
        <w:trPr>
          <w:cantSplit/>
          <w:trHeight w:val="557"/>
        </w:trPr>
        <w:tc>
          <w:tcPr>
            <w:tcW w:w="993" w:type="dxa"/>
            <w:vAlign w:val="center"/>
          </w:tcPr>
          <w:p w14:paraId="4F46D7DB" w14:textId="127950E6" w:rsidR="009030EB" w:rsidRPr="00180532" w:rsidRDefault="009030EB" w:rsidP="009030EB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6BD3BBC1" w14:textId="18A35C88" w:rsidR="009030EB" w:rsidRPr="00180532" w:rsidRDefault="009030EB" w:rsidP="009030E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A3677C">
              <w:rPr>
                <w:b/>
                <w:sz w:val="24"/>
                <w:szCs w:val="24"/>
              </w:rPr>
              <w:t>ООО «Френдс Ивентс»</w:t>
            </w:r>
          </w:p>
        </w:tc>
        <w:tc>
          <w:tcPr>
            <w:tcW w:w="5103" w:type="dxa"/>
            <w:vAlign w:val="center"/>
          </w:tcPr>
          <w:p w14:paraId="34D6DB18" w14:textId="7890764B" w:rsidR="009030EB" w:rsidRPr="00180532" w:rsidRDefault="009030EB" w:rsidP="009030E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A3677C">
              <w:rPr>
                <w:sz w:val="24"/>
                <w:szCs w:val="24"/>
              </w:rPr>
              <w:t>123100, г. Москва, Пресненская наб., дом 12, этаж 46 башня Федерация Запад</w:t>
            </w:r>
          </w:p>
        </w:tc>
        <w:tc>
          <w:tcPr>
            <w:tcW w:w="2977" w:type="dxa"/>
            <w:vAlign w:val="center"/>
          </w:tcPr>
          <w:p w14:paraId="417422B2" w14:textId="2D506544" w:rsidR="009030EB" w:rsidRPr="00180532" w:rsidRDefault="009030EB" w:rsidP="009030E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693" w:type="dxa"/>
            <w:vAlign w:val="center"/>
          </w:tcPr>
          <w:p w14:paraId="1331D37F" w14:textId="74ADA71C" w:rsidR="009030EB" w:rsidRPr="00180532" w:rsidRDefault="00297812" w:rsidP="0029781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23 мая 2017</w:t>
            </w:r>
            <w:r w:rsidR="009030EB" w:rsidRPr="00180532">
              <w:rPr>
                <w:b/>
                <w:sz w:val="24"/>
                <w:szCs w:val="24"/>
              </w:rPr>
              <w:t xml:space="preserve"> года </w:t>
            </w:r>
            <w:r w:rsidR="009030EB" w:rsidRPr="00180532">
              <w:rPr>
                <w:sz w:val="24"/>
                <w:szCs w:val="24"/>
              </w:rPr>
              <w:t>(включительно)</w:t>
            </w:r>
          </w:p>
        </w:tc>
      </w:tr>
      <w:tr w:rsidR="009030EB" w:rsidRPr="00180532" w14:paraId="3D8F2348" w14:textId="77777777" w:rsidTr="00180532">
        <w:trPr>
          <w:cantSplit/>
          <w:trHeight w:val="557"/>
        </w:trPr>
        <w:tc>
          <w:tcPr>
            <w:tcW w:w="993" w:type="dxa"/>
            <w:vAlign w:val="center"/>
          </w:tcPr>
          <w:p w14:paraId="3F94DB93" w14:textId="5321539B" w:rsidR="009030EB" w:rsidRPr="00180532" w:rsidRDefault="009030EB" w:rsidP="009030EB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4CB86CB8" w14:textId="3B94F0A4" w:rsidR="009030EB" w:rsidRPr="00180532" w:rsidRDefault="009030EB" w:rsidP="009030EB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A3677C">
              <w:rPr>
                <w:b/>
              </w:rPr>
              <w:t>ООО «Агентство «Социальные Сети»</w:t>
            </w:r>
          </w:p>
        </w:tc>
        <w:tc>
          <w:tcPr>
            <w:tcW w:w="5103" w:type="dxa"/>
            <w:vAlign w:val="center"/>
          </w:tcPr>
          <w:p w14:paraId="5A2FB246" w14:textId="50CABD26" w:rsidR="009030EB" w:rsidRPr="00180532" w:rsidRDefault="009030EB" w:rsidP="009030EB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A3677C">
              <w:t>115191, г. Москва, Большая Тульская., д. 10, стр.4</w:t>
            </w:r>
          </w:p>
        </w:tc>
        <w:tc>
          <w:tcPr>
            <w:tcW w:w="2977" w:type="dxa"/>
            <w:vAlign w:val="center"/>
          </w:tcPr>
          <w:p w14:paraId="53FF19AD" w14:textId="07C67EB2" w:rsidR="009030EB" w:rsidRPr="00180532" w:rsidRDefault="009030EB" w:rsidP="009030E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72,50</w:t>
            </w:r>
          </w:p>
        </w:tc>
        <w:tc>
          <w:tcPr>
            <w:tcW w:w="2693" w:type="dxa"/>
            <w:vAlign w:val="center"/>
          </w:tcPr>
          <w:p w14:paraId="72309FC4" w14:textId="3D5B807A" w:rsidR="009030EB" w:rsidRPr="00180532" w:rsidRDefault="00297812" w:rsidP="009030E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23 мая 2017</w:t>
            </w:r>
            <w:r w:rsidRPr="00180532">
              <w:rPr>
                <w:b/>
                <w:sz w:val="24"/>
                <w:szCs w:val="24"/>
              </w:rPr>
              <w:t xml:space="preserve"> года </w:t>
            </w:r>
            <w:r w:rsidRPr="00180532">
              <w:rPr>
                <w:sz w:val="24"/>
                <w:szCs w:val="24"/>
              </w:rPr>
              <w:t>(включительно)</w:t>
            </w:r>
          </w:p>
        </w:tc>
      </w:tr>
      <w:tr w:rsidR="009030EB" w:rsidRPr="00180532" w14:paraId="03C7B186" w14:textId="77777777" w:rsidTr="00180532">
        <w:trPr>
          <w:cantSplit/>
          <w:trHeight w:val="557"/>
        </w:trPr>
        <w:tc>
          <w:tcPr>
            <w:tcW w:w="993" w:type="dxa"/>
            <w:vAlign w:val="center"/>
          </w:tcPr>
          <w:p w14:paraId="58D6BFB7" w14:textId="40914929" w:rsidR="009030EB" w:rsidRPr="00180532" w:rsidRDefault="009030EB" w:rsidP="009030EB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4185ADF7" w14:textId="0E7FC7E0" w:rsidR="009030EB" w:rsidRPr="00180532" w:rsidRDefault="009030EB" w:rsidP="009030EB">
            <w:pPr>
              <w:pStyle w:val="af1"/>
              <w:spacing w:before="120" w:after="120"/>
              <w:jc w:val="center"/>
              <w:rPr>
                <w:b/>
                <w:bCs/>
                <w:lang w:val="ru-RU"/>
              </w:rPr>
            </w:pPr>
            <w:r w:rsidRPr="00A3677C">
              <w:rPr>
                <w:b/>
              </w:rPr>
              <w:t xml:space="preserve">ООО «Олнайтерс </w:t>
            </w:r>
            <w:r w:rsidR="0094612B">
              <w:rPr>
                <w:b/>
              </w:rPr>
              <w:t>Маркетинг</w:t>
            </w:r>
            <w:r w:rsidRPr="00A3677C">
              <w:rPr>
                <w:b/>
              </w:rPr>
              <w:t>»</w:t>
            </w:r>
          </w:p>
        </w:tc>
        <w:tc>
          <w:tcPr>
            <w:tcW w:w="5103" w:type="dxa"/>
            <w:vAlign w:val="center"/>
          </w:tcPr>
          <w:p w14:paraId="406FB871" w14:textId="52B6DE8B" w:rsidR="009030EB" w:rsidRPr="00180532" w:rsidRDefault="009030EB" w:rsidP="009030EB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A3677C">
              <w:t>123022, г. Москва, ул. РОЧДЕЛЬСКАЯ, д. 15, стр.8.</w:t>
            </w:r>
          </w:p>
        </w:tc>
        <w:tc>
          <w:tcPr>
            <w:tcW w:w="2977" w:type="dxa"/>
            <w:vAlign w:val="center"/>
          </w:tcPr>
          <w:p w14:paraId="1903AD7B" w14:textId="64F71A39" w:rsidR="009030EB" w:rsidRPr="00180532" w:rsidRDefault="009030EB" w:rsidP="009030E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71,75</w:t>
            </w:r>
          </w:p>
        </w:tc>
        <w:tc>
          <w:tcPr>
            <w:tcW w:w="2693" w:type="dxa"/>
            <w:vAlign w:val="center"/>
          </w:tcPr>
          <w:p w14:paraId="3D2306C6" w14:textId="7A5C96EB" w:rsidR="009030EB" w:rsidRPr="00180532" w:rsidRDefault="00297812" w:rsidP="009030E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23 мая 2017</w:t>
            </w:r>
            <w:r w:rsidRPr="00180532">
              <w:rPr>
                <w:b/>
                <w:sz w:val="24"/>
                <w:szCs w:val="24"/>
              </w:rPr>
              <w:t xml:space="preserve"> года </w:t>
            </w:r>
            <w:r w:rsidRPr="00180532">
              <w:rPr>
                <w:sz w:val="24"/>
                <w:szCs w:val="24"/>
              </w:rPr>
              <w:t>(включительно)</w:t>
            </w:r>
          </w:p>
        </w:tc>
      </w:tr>
      <w:tr w:rsidR="009030EB" w:rsidRPr="00180532" w14:paraId="4AAC13E1" w14:textId="77777777" w:rsidTr="00180532">
        <w:trPr>
          <w:cantSplit/>
          <w:trHeight w:val="557"/>
        </w:trPr>
        <w:tc>
          <w:tcPr>
            <w:tcW w:w="993" w:type="dxa"/>
            <w:vAlign w:val="center"/>
          </w:tcPr>
          <w:p w14:paraId="51376D96" w14:textId="20B07A4B" w:rsidR="009030EB" w:rsidRPr="00180532" w:rsidRDefault="009030EB" w:rsidP="009030EB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5673F4F9" w14:textId="4C844CFE" w:rsidR="009030EB" w:rsidRPr="00180532" w:rsidRDefault="009030EB" w:rsidP="009030EB">
            <w:pPr>
              <w:pStyle w:val="af1"/>
              <w:spacing w:before="120" w:after="120"/>
              <w:jc w:val="center"/>
              <w:rPr>
                <w:b/>
                <w:bCs/>
                <w:lang w:val="ru-RU"/>
              </w:rPr>
            </w:pPr>
            <w:r w:rsidRPr="00A3677C">
              <w:rPr>
                <w:b/>
              </w:rPr>
              <w:t>ООО «СПН Коммс»</w:t>
            </w:r>
          </w:p>
        </w:tc>
        <w:tc>
          <w:tcPr>
            <w:tcW w:w="5103" w:type="dxa"/>
            <w:vAlign w:val="center"/>
          </w:tcPr>
          <w:p w14:paraId="3989DA5C" w14:textId="0A8A8597" w:rsidR="009030EB" w:rsidRPr="00180532" w:rsidRDefault="009030EB" w:rsidP="009030EB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A3677C">
              <w:t>117105, РФ, г. Москва, Варшавское ш., д.9, стр. 28</w:t>
            </w:r>
          </w:p>
        </w:tc>
        <w:tc>
          <w:tcPr>
            <w:tcW w:w="2977" w:type="dxa"/>
            <w:vAlign w:val="center"/>
          </w:tcPr>
          <w:p w14:paraId="788AD675" w14:textId="76B5F94F" w:rsidR="009030EB" w:rsidRPr="00180532" w:rsidRDefault="009030EB" w:rsidP="009030E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99,50</w:t>
            </w:r>
          </w:p>
        </w:tc>
        <w:tc>
          <w:tcPr>
            <w:tcW w:w="2693" w:type="dxa"/>
            <w:vAlign w:val="center"/>
          </w:tcPr>
          <w:p w14:paraId="01523AF2" w14:textId="4D16A3F7" w:rsidR="009030EB" w:rsidRPr="00180532" w:rsidRDefault="00297812" w:rsidP="009030E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23 мая 2017</w:t>
            </w:r>
            <w:r w:rsidRPr="00180532">
              <w:rPr>
                <w:b/>
                <w:sz w:val="24"/>
                <w:szCs w:val="24"/>
              </w:rPr>
              <w:t xml:space="preserve"> года </w:t>
            </w:r>
            <w:r w:rsidRPr="00180532">
              <w:rPr>
                <w:sz w:val="24"/>
                <w:szCs w:val="24"/>
              </w:rPr>
              <w:t>(включительно)</w:t>
            </w:r>
          </w:p>
        </w:tc>
      </w:tr>
    </w:tbl>
    <w:p w14:paraId="411A2033" w14:textId="3B6EE92E" w:rsidR="00D11F3A" w:rsidRDefault="00180532" w:rsidP="00180532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F129A3">
        <w:rPr>
          <w:sz w:val="24"/>
          <w:szCs w:val="24"/>
        </w:rPr>
        <w:t xml:space="preserve">. </w:t>
      </w:r>
      <w:r w:rsidR="00D11F3A" w:rsidRPr="00BD74C2">
        <w:rPr>
          <w:sz w:val="24"/>
          <w:szCs w:val="24"/>
        </w:rPr>
        <w:t xml:space="preserve">Настоящий протокол подлежит размещению на сайте Заказчика, а также хранению в течение трех лет, с даты подведения итогов </w:t>
      </w:r>
      <w:r>
        <w:rPr>
          <w:sz w:val="24"/>
          <w:szCs w:val="24"/>
        </w:rPr>
        <w:t>процедуры</w:t>
      </w:r>
      <w:r w:rsidR="00D11F3A" w:rsidRPr="00BD74C2">
        <w:rPr>
          <w:sz w:val="24"/>
          <w:szCs w:val="24"/>
        </w:rPr>
        <w:t>.</w:t>
      </w:r>
    </w:p>
    <w:p w14:paraId="5567227F" w14:textId="77777777" w:rsidR="00447662" w:rsidRPr="00BD74C2" w:rsidRDefault="00447662" w:rsidP="00180532">
      <w:pPr>
        <w:pStyle w:val="a5"/>
        <w:outlineLvl w:val="0"/>
        <w:rPr>
          <w:sz w:val="24"/>
          <w:szCs w:val="24"/>
        </w:rPr>
      </w:pPr>
    </w:p>
    <w:p w14:paraId="3D9D2FA6" w14:textId="03BC9121" w:rsidR="00D654F0" w:rsidRPr="00CC53B1" w:rsidRDefault="00180532" w:rsidP="0018053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129A3">
        <w:rPr>
          <w:rFonts w:ascii="Times New Roman" w:hAnsi="Times New Roman" w:cs="Times New Roman"/>
          <w:sz w:val="24"/>
          <w:szCs w:val="24"/>
        </w:rPr>
        <w:t xml:space="preserve">. </w:t>
      </w:r>
      <w:r w:rsidR="00D654F0" w:rsidRPr="00BD74C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CC53B1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  <w:bookmarkStart w:id="7" w:name="_GoBack"/>
      <w:bookmarkEnd w:id="7"/>
    </w:p>
    <w:p w14:paraId="70A3567F" w14:textId="77777777" w:rsidR="00447662" w:rsidRDefault="00447662" w:rsidP="0018053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BD74C2" w:rsidRDefault="00D654F0" w:rsidP="003E3FB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54F0" w:rsidRPr="00BD74C2" w:rsidSect="003E3FB6">
      <w:footerReference w:type="even" r:id="rId10"/>
      <w:footerReference w:type="default" r:id="rId11"/>
      <w:pgSz w:w="16838" w:h="11906" w:orient="landscape"/>
      <w:pgMar w:top="1134" w:right="536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297812" w:rsidRDefault="00297812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297812" w:rsidRDefault="0029781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297812" w:rsidRDefault="00297812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53B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297812" w:rsidRDefault="0029781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297812" w:rsidRDefault="00297812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297812" w:rsidRDefault="0029781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C53B1">
      <w:rPr>
        <w:rStyle w:val="af"/>
        <w:noProof/>
      </w:rPr>
      <w:t>10</w:t>
    </w:r>
    <w:r>
      <w:rPr>
        <w:rStyle w:val="af"/>
      </w:rPr>
      <w:fldChar w:fldCharType="end"/>
    </w:r>
  </w:p>
  <w:p w14:paraId="41274491" w14:textId="77777777" w:rsidR="00297812" w:rsidRDefault="0029781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297812" w:rsidRDefault="00297812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297812" w:rsidRDefault="0029781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2A28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697E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7401F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0D966B3"/>
    <w:multiLevelType w:val="hybridMultilevel"/>
    <w:tmpl w:val="7E7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561FF"/>
    <w:multiLevelType w:val="hybridMultilevel"/>
    <w:tmpl w:val="07B6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D74F32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956CB"/>
    <w:multiLevelType w:val="hybridMultilevel"/>
    <w:tmpl w:val="69E621E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FA678EE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4A25B1"/>
    <w:multiLevelType w:val="hybridMultilevel"/>
    <w:tmpl w:val="4AB21950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594D39BC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E32D7F"/>
    <w:multiLevelType w:val="hybridMultilevel"/>
    <w:tmpl w:val="2698F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1B3C"/>
    <w:multiLevelType w:val="hybridMultilevel"/>
    <w:tmpl w:val="7E7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8"/>
  </w:num>
  <w:num w:numId="5">
    <w:abstractNumId w:val="8"/>
  </w:num>
  <w:num w:numId="6">
    <w:abstractNumId w:val="27"/>
  </w:num>
  <w:num w:numId="7">
    <w:abstractNumId w:val="3"/>
  </w:num>
  <w:num w:numId="8">
    <w:abstractNumId w:val="0"/>
  </w:num>
  <w:num w:numId="9">
    <w:abstractNumId w:val="12"/>
  </w:num>
  <w:num w:numId="10">
    <w:abstractNumId w:val="19"/>
  </w:num>
  <w:num w:numId="11">
    <w:abstractNumId w:val="29"/>
  </w:num>
  <w:num w:numId="12">
    <w:abstractNumId w:val="21"/>
  </w:num>
  <w:num w:numId="13">
    <w:abstractNumId w:val="6"/>
  </w:num>
  <w:num w:numId="14">
    <w:abstractNumId w:val="7"/>
  </w:num>
  <w:num w:numId="15">
    <w:abstractNumId w:val="13"/>
  </w:num>
  <w:num w:numId="16">
    <w:abstractNumId w:val="18"/>
  </w:num>
  <w:num w:numId="17">
    <w:abstractNumId w:val="15"/>
  </w:num>
  <w:num w:numId="18">
    <w:abstractNumId w:val="1"/>
  </w:num>
  <w:num w:numId="19">
    <w:abstractNumId w:val="20"/>
  </w:num>
  <w:num w:numId="20">
    <w:abstractNumId w:val="11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4"/>
  </w:num>
  <w:num w:numId="25">
    <w:abstractNumId w:val="4"/>
  </w:num>
  <w:num w:numId="26">
    <w:abstractNumId w:val="16"/>
  </w:num>
  <w:num w:numId="27">
    <w:abstractNumId w:val="22"/>
  </w:num>
  <w:num w:numId="28">
    <w:abstractNumId w:val="25"/>
  </w:num>
  <w:num w:numId="29">
    <w:abstractNumId w:val="23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F1FE7"/>
    <w:rsid w:val="000F7473"/>
    <w:rsid w:val="001014FD"/>
    <w:rsid w:val="00115FE3"/>
    <w:rsid w:val="001260F4"/>
    <w:rsid w:val="00127A6A"/>
    <w:rsid w:val="001726D5"/>
    <w:rsid w:val="00180532"/>
    <w:rsid w:val="00187638"/>
    <w:rsid w:val="00193D52"/>
    <w:rsid w:val="001A454A"/>
    <w:rsid w:val="001A6F33"/>
    <w:rsid w:val="001E0113"/>
    <w:rsid w:val="001E120A"/>
    <w:rsid w:val="001E3AA6"/>
    <w:rsid w:val="002001DE"/>
    <w:rsid w:val="00210870"/>
    <w:rsid w:val="00212E8E"/>
    <w:rsid w:val="00213392"/>
    <w:rsid w:val="0021415E"/>
    <w:rsid w:val="00224694"/>
    <w:rsid w:val="002278FC"/>
    <w:rsid w:val="0023652C"/>
    <w:rsid w:val="00263A3E"/>
    <w:rsid w:val="00294F35"/>
    <w:rsid w:val="00297812"/>
    <w:rsid w:val="002A40FD"/>
    <w:rsid w:val="002A5ACC"/>
    <w:rsid w:val="002A61E6"/>
    <w:rsid w:val="002D0855"/>
    <w:rsid w:val="002D1DCC"/>
    <w:rsid w:val="002E254C"/>
    <w:rsid w:val="002F47BA"/>
    <w:rsid w:val="00304986"/>
    <w:rsid w:val="00330D4A"/>
    <w:rsid w:val="003344BF"/>
    <w:rsid w:val="0035180A"/>
    <w:rsid w:val="00367D5E"/>
    <w:rsid w:val="00380119"/>
    <w:rsid w:val="00390C0F"/>
    <w:rsid w:val="0039401B"/>
    <w:rsid w:val="003A3914"/>
    <w:rsid w:val="003B0ECB"/>
    <w:rsid w:val="003B3AF4"/>
    <w:rsid w:val="003B49FD"/>
    <w:rsid w:val="003C146F"/>
    <w:rsid w:val="003D01A2"/>
    <w:rsid w:val="003D62F9"/>
    <w:rsid w:val="003D6854"/>
    <w:rsid w:val="003E3FB6"/>
    <w:rsid w:val="003E6660"/>
    <w:rsid w:val="003E6DF5"/>
    <w:rsid w:val="003F2F2F"/>
    <w:rsid w:val="003F72F4"/>
    <w:rsid w:val="004066A4"/>
    <w:rsid w:val="00407B69"/>
    <w:rsid w:val="00426F24"/>
    <w:rsid w:val="00433CE9"/>
    <w:rsid w:val="00437462"/>
    <w:rsid w:val="00442A56"/>
    <w:rsid w:val="00447662"/>
    <w:rsid w:val="00474232"/>
    <w:rsid w:val="00482639"/>
    <w:rsid w:val="00491A3A"/>
    <w:rsid w:val="004A315E"/>
    <w:rsid w:val="004A5F16"/>
    <w:rsid w:val="004A7084"/>
    <w:rsid w:val="004B4E7E"/>
    <w:rsid w:val="004C03D7"/>
    <w:rsid w:val="004C7079"/>
    <w:rsid w:val="004D440A"/>
    <w:rsid w:val="004E3426"/>
    <w:rsid w:val="004E4082"/>
    <w:rsid w:val="004E7A27"/>
    <w:rsid w:val="00501327"/>
    <w:rsid w:val="00512D96"/>
    <w:rsid w:val="00514CB5"/>
    <w:rsid w:val="0052019A"/>
    <w:rsid w:val="005264DC"/>
    <w:rsid w:val="0053135C"/>
    <w:rsid w:val="00532478"/>
    <w:rsid w:val="00534439"/>
    <w:rsid w:val="00535EA6"/>
    <w:rsid w:val="00540F12"/>
    <w:rsid w:val="0054635E"/>
    <w:rsid w:val="005825A8"/>
    <w:rsid w:val="0059014D"/>
    <w:rsid w:val="005B2976"/>
    <w:rsid w:val="005C529B"/>
    <w:rsid w:val="005E6B6F"/>
    <w:rsid w:val="005F5701"/>
    <w:rsid w:val="005F60F9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95874"/>
    <w:rsid w:val="006A3DA8"/>
    <w:rsid w:val="006B4FB8"/>
    <w:rsid w:val="006C3440"/>
    <w:rsid w:val="006C67D8"/>
    <w:rsid w:val="006D27C1"/>
    <w:rsid w:val="006D565E"/>
    <w:rsid w:val="006E0FF5"/>
    <w:rsid w:val="006E4023"/>
    <w:rsid w:val="006E42E1"/>
    <w:rsid w:val="00712951"/>
    <w:rsid w:val="007162E0"/>
    <w:rsid w:val="0071785B"/>
    <w:rsid w:val="00717FFE"/>
    <w:rsid w:val="007354C6"/>
    <w:rsid w:val="00745EDC"/>
    <w:rsid w:val="00752B06"/>
    <w:rsid w:val="007558D6"/>
    <w:rsid w:val="007648FE"/>
    <w:rsid w:val="00770E64"/>
    <w:rsid w:val="007757D7"/>
    <w:rsid w:val="007A5503"/>
    <w:rsid w:val="007B3A5D"/>
    <w:rsid w:val="007C146D"/>
    <w:rsid w:val="007C3111"/>
    <w:rsid w:val="007C383F"/>
    <w:rsid w:val="007D16C3"/>
    <w:rsid w:val="007D5CD4"/>
    <w:rsid w:val="007D7B70"/>
    <w:rsid w:val="007E2E13"/>
    <w:rsid w:val="0080645A"/>
    <w:rsid w:val="008078FB"/>
    <w:rsid w:val="008312CF"/>
    <w:rsid w:val="008337F9"/>
    <w:rsid w:val="0084592F"/>
    <w:rsid w:val="00856400"/>
    <w:rsid w:val="00862D7E"/>
    <w:rsid w:val="00867BD8"/>
    <w:rsid w:val="00887ECA"/>
    <w:rsid w:val="008936D6"/>
    <w:rsid w:val="0089624E"/>
    <w:rsid w:val="008C17BF"/>
    <w:rsid w:val="008D00A0"/>
    <w:rsid w:val="008F07CB"/>
    <w:rsid w:val="009030EB"/>
    <w:rsid w:val="00910E59"/>
    <w:rsid w:val="009209BF"/>
    <w:rsid w:val="00931D4D"/>
    <w:rsid w:val="0094612B"/>
    <w:rsid w:val="009568BF"/>
    <w:rsid w:val="0096032A"/>
    <w:rsid w:val="00961FD1"/>
    <w:rsid w:val="009651BA"/>
    <w:rsid w:val="00966057"/>
    <w:rsid w:val="0098041D"/>
    <w:rsid w:val="00981374"/>
    <w:rsid w:val="0098564E"/>
    <w:rsid w:val="0098705B"/>
    <w:rsid w:val="009A1730"/>
    <w:rsid w:val="009A4FD4"/>
    <w:rsid w:val="009C29B0"/>
    <w:rsid w:val="009D3873"/>
    <w:rsid w:val="009E4BDD"/>
    <w:rsid w:val="009E7839"/>
    <w:rsid w:val="009F6FBC"/>
    <w:rsid w:val="00A00C30"/>
    <w:rsid w:val="00A11C10"/>
    <w:rsid w:val="00A134F5"/>
    <w:rsid w:val="00A256F6"/>
    <w:rsid w:val="00A27E2A"/>
    <w:rsid w:val="00A3677C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0E8"/>
    <w:rsid w:val="00B161CE"/>
    <w:rsid w:val="00B17925"/>
    <w:rsid w:val="00B25D56"/>
    <w:rsid w:val="00B35E13"/>
    <w:rsid w:val="00B45EA1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D74C2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A5DED"/>
    <w:rsid w:val="00CB423D"/>
    <w:rsid w:val="00CC53B1"/>
    <w:rsid w:val="00CD3B9D"/>
    <w:rsid w:val="00D11F3A"/>
    <w:rsid w:val="00D25AA1"/>
    <w:rsid w:val="00D26756"/>
    <w:rsid w:val="00D36BBB"/>
    <w:rsid w:val="00D37ABD"/>
    <w:rsid w:val="00D409E9"/>
    <w:rsid w:val="00D46C59"/>
    <w:rsid w:val="00D654F0"/>
    <w:rsid w:val="00D666BD"/>
    <w:rsid w:val="00D82764"/>
    <w:rsid w:val="00D92EE0"/>
    <w:rsid w:val="00DA3DFE"/>
    <w:rsid w:val="00DA3F77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A5F42"/>
    <w:rsid w:val="00EB1B27"/>
    <w:rsid w:val="00EC0E0F"/>
    <w:rsid w:val="00EE3A84"/>
    <w:rsid w:val="00EE75A8"/>
    <w:rsid w:val="00F02BCD"/>
    <w:rsid w:val="00F129A3"/>
    <w:rsid w:val="00F268F3"/>
    <w:rsid w:val="00F31006"/>
    <w:rsid w:val="00F3481B"/>
    <w:rsid w:val="00F42F24"/>
    <w:rsid w:val="00F47A41"/>
    <w:rsid w:val="00F54287"/>
    <w:rsid w:val="00F61537"/>
    <w:rsid w:val="00F73A91"/>
    <w:rsid w:val="00F77F3F"/>
    <w:rsid w:val="00F91148"/>
    <w:rsid w:val="00F9251E"/>
    <w:rsid w:val="00FB58C2"/>
    <w:rsid w:val="00FC2A5C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59014D"/>
    <w:pPr>
      <w:keepNext/>
      <w:numPr>
        <w:numId w:val="2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9014D"/>
    <w:pPr>
      <w:keepNext/>
      <w:numPr>
        <w:ilvl w:val="1"/>
        <w:numId w:val="2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9014D"/>
    <w:pPr>
      <w:keepNext/>
      <w:numPr>
        <w:ilvl w:val="3"/>
        <w:numId w:val="2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9014D"/>
    <w:pPr>
      <w:numPr>
        <w:ilvl w:val="5"/>
        <w:numId w:val="2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9014D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14D"/>
    <w:pPr>
      <w:numPr>
        <w:ilvl w:val="7"/>
        <w:numId w:val="2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014D"/>
    <w:pPr>
      <w:numPr>
        <w:ilvl w:val="8"/>
        <w:numId w:val="2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9014D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9014D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9014D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9014D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9014D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9014D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9014D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DA3DF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59014D"/>
    <w:pPr>
      <w:keepNext/>
      <w:numPr>
        <w:numId w:val="2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9014D"/>
    <w:pPr>
      <w:keepNext/>
      <w:numPr>
        <w:ilvl w:val="1"/>
        <w:numId w:val="2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9014D"/>
    <w:pPr>
      <w:keepNext/>
      <w:numPr>
        <w:ilvl w:val="3"/>
        <w:numId w:val="2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9014D"/>
    <w:pPr>
      <w:numPr>
        <w:ilvl w:val="5"/>
        <w:numId w:val="2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9014D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14D"/>
    <w:pPr>
      <w:numPr>
        <w:ilvl w:val="7"/>
        <w:numId w:val="2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014D"/>
    <w:pPr>
      <w:numPr>
        <w:ilvl w:val="8"/>
        <w:numId w:val="2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9014D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9014D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9014D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9014D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9014D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9014D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9014D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DA3DF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E1470B-A90E-C44A-9403-941E9A56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2487</Words>
  <Characters>14179</Characters>
  <Application>Microsoft Macintosh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2016-05-24T13:53:00Z</cp:lastPrinted>
  <dcterms:created xsi:type="dcterms:W3CDTF">2016-05-24T14:24:00Z</dcterms:created>
  <dcterms:modified xsi:type="dcterms:W3CDTF">2016-05-24T14:24:00Z</dcterms:modified>
</cp:coreProperties>
</file>